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CE7A" w14:textId="77777777" w:rsidR="0070794E" w:rsidRDefault="0070794E" w:rsidP="00607277">
      <w:pPr>
        <w:jc w:val="right"/>
        <w:rPr>
          <w:rFonts w:ascii="Arial" w:hAnsi="Arial" w:cs="Arial"/>
          <w:sz w:val="16"/>
          <w:szCs w:val="16"/>
        </w:rPr>
      </w:pPr>
    </w:p>
    <w:p w14:paraId="2256CE7B" w14:textId="77777777" w:rsidR="00FB7B5F" w:rsidRPr="00FA76CE" w:rsidRDefault="12F7AE45" w:rsidP="12F7AE45">
      <w:pPr>
        <w:rPr>
          <w:rFonts w:ascii="Arial" w:eastAsia="Arial" w:hAnsi="Arial" w:cs="Arial"/>
          <w:b/>
          <w:bCs/>
          <w:sz w:val="28"/>
          <w:szCs w:val="28"/>
        </w:rPr>
      </w:pPr>
      <w:r w:rsidRPr="12F7AE45">
        <w:rPr>
          <w:rFonts w:ascii="Arial" w:eastAsia="Arial" w:hAnsi="Arial" w:cs="Arial"/>
          <w:b/>
          <w:sz w:val="28"/>
          <w:szCs w:val="28"/>
          <w:lang w:val="en-GB" w:bidi="en-GB"/>
        </w:rPr>
        <w:t>Agreement form for agreement on technical consultancy services and assistance in accordance with ABR 18</w:t>
      </w:r>
    </w:p>
    <w:p w14:paraId="2256CE7C" w14:textId="77777777" w:rsidR="00FB7B5F" w:rsidRPr="006220F3" w:rsidRDefault="00FB7B5F" w:rsidP="006220F3"/>
    <w:p w14:paraId="2256CE7D" w14:textId="4C106645"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form is used together with the General Conditions for Consultancy Services and Assistance, ABR</w:t>
      </w:r>
      <w:r w:rsidR="008B164F">
        <w:rPr>
          <w:rFonts w:ascii="Verdana" w:eastAsia="Verdana" w:hAnsi="Verdana" w:cs="Verdana"/>
          <w:sz w:val="18"/>
          <w:szCs w:val="18"/>
          <w:lang w:val="en-GB" w:bidi="en-GB"/>
        </w:rPr>
        <w:t xml:space="preserve"> </w:t>
      </w:r>
      <w:r w:rsidRPr="12F7AE45">
        <w:rPr>
          <w:rFonts w:ascii="Verdana" w:eastAsia="Verdana" w:hAnsi="Verdana" w:cs="Verdana"/>
          <w:sz w:val="18"/>
          <w:szCs w:val="18"/>
          <w:lang w:val="en-GB" w:bidi="en-GB"/>
        </w:rPr>
        <w:t>18.</w:t>
      </w:r>
    </w:p>
    <w:p w14:paraId="2256CE7E" w14:textId="77777777" w:rsidR="00600397" w:rsidRDefault="00600397" w:rsidP="00600397">
      <w:pPr>
        <w:pStyle w:val="NormalWeb"/>
        <w:spacing w:before="0" w:beforeAutospacing="0" w:after="0" w:afterAutospacing="0"/>
        <w:rPr>
          <w:rFonts w:ascii="Verdana" w:hAnsi="Verdana" w:cs="Arial"/>
          <w:sz w:val="18"/>
        </w:rPr>
      </w:pPr>
    </w:p>
    <w:p w14:paraId="2256CE7F"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agreement form has been developed by The Danish Association of Architectural Firms and The Danish Association of Consulting Engineers, FRI</w:t>
      </w:r>
      <w:r w:rsidRPr="12F7AE45">
        <w:rPr>
          <w:rFonts w:ascii="Verdana,Arial" w:eastAsia="Verdana,Arial" w:hAnsi="Verdana,Arial" w:cs="Verdana,Arial"/>
          <w:sz w:val="18"/>
          <w:szCs w:val="18"/>
          <w:lang w:val="en-GB" w:bidi="en-GB"/>
        </w:rPr>
        <w:t>.</w:t>
      </w:r>
    </w:p>
    <w:p w14:paraId="2256CE80" w14:textId="77777777" w:rsidR="00600397" w:rsidRDefault="00600397" w:rsidP="00600397">
      <w:pPr>
        <w:pStyle w:val="NormalWeb"/>
        <w:spacing w:before="0" w:beforeAutospacing="0" w:after="0" w:afterAutospacing="0"/>
        <w:rPr>
          <w:rFonts w:ascii="Verdana" w:hAnsi="Verdana" w:cs="Arial"/>
          <w:sz w:val="18"/>
          <w:szCs w:val="20"/>
        </w:rPr>
      </w:pPr>
    </w:p>
    <w:tbl>
      <w:tblPr>
        <w:tblW w:w="9778" w:type="dxa"/>
        <w:tblCellMar>
          <w:left w:w="70" w:type="dxa"/>
          <w:right w:w="70" w:type="dxa"/>
        </w:tblCellMar>
        <w:tblLook w:val="0000" w:firstRow="0" w:lastRow="0" w:firstColumn="0" w:lastColumn="0" w:noHBand="0" w:noVBand="0"/>
      </w:tblPr>
      <w:tblGrid>
        <w:gridCol w:w="446"/>
        <w:gridCol w:w="690"/>
        <w:gridCol w:w="8642"/>
      </w:tblGrid>
      <w:tr w:rsidR="00600397" w14:paraId="2256CE83" w14:textId="77777777" w:rsidTr="12F7AE45">
        <w:trPr>
          <w:cantSplit/>
        </w:trPr>
        <w:tc>
          <w:tcPr>
            <w:tcW w:w="446" w:type="dxa"/>
          </w:tcPr>
          <w:p w14:paraId="2256CE81" w14:textId="77777777" w:rsidR="00600397" w:rsidRDefault="12F7AE45" w:rsidP="12F7AE45">
            <w:pPr>
              <w:spacing w:before="60" w:after="60"/>
              <w:rPr>
                <w:rFonts w:ascii="Verdana" w:eastAsia="Verdana" w:hAnsi="Verdana" w:cs="Verdana"/>
                <w:sz w:val="18"/>
                <w:szCs w:val="18"/>
              </w:rPr>
            </w:pPr>
            <w:r w:rsidRPr="12F7AE45">
              <w:rPr>
                <w:rFonts w:ascii="Verdana" w:eastAsia="Verdana" w:hAnsi="Verdana" w:cs="Verdana"/>
                <w:b/>
                <w:sz w:val="18"/>
                <w:szCs w:val="18"/>
                <w:lang w:val="en-GB" w:bidi="en-GB"/>
              </w:rPr>
              <w:t>1.</w:t>
            </w:r>
          </w:p>
        </w:tc>
        <w:tc>
          <w:tcPr>
            <w:tcW w:w="9332" w:type="dxa"/>
            <w:gridSpan w:val="2"/>
          </w:tcPr>
          <w:p w14:paraId="2256CE82" w14:textId="77777777" w:rsidR="00600397" w:rsidRDefault="12F7AE45" w:rsidP="12F7AE45">
            <w:pPr>
              <w:pStyle w:val="NormalWeb"/>
              <w:spacing w:before="60" w:beforeAutospacing="0" w:after="60" w:afterAutospacing="0"/>
              <w:rPr>
                <w:rFonts w:ascii="Verdana,Arial" w:eastAsia="Verdana,Arial" w:hAnsi="Verdana,Arial" w:cs="Verdana,Arial"/>
                <w:sz w:val="18"/>
                <w:szCs w:val="18"/>
              </w:rPr>
            </w:pPr>
            <w:r w:rsidRPr="12F7AE45">
              <w:rPr>
                <w:rFonts w:ascii="Verdana" w:eastAsia="Verdana" w:hAnsi="Verdana" w:cs="Verdana"/>
                <w:b/>
                <w:sz w:val="18"/>
                <w:szCs w:val="18"/>
                <w:lang w:val="en-GB" w:bidi="en-GB"/>
              </w:rPr>
              <w:t>Parties</w:t>
            </w:r>
          </w:p>
        </w:tc>
      </w:tr>
      <w:tr w:rsidR="00600397" w14:paraId="2256CE8B" w14:textId="77777777" w:rsidTr="12F7AE45">
        <w:tc>
          <w:tcPr>
            <w:tcW w:w="446" w:type="dxa"/>
          </w:tcPr>
          <w:p w14:paraId="2256CE84"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85"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1.1</w:t>
            </w:r>
          </w:p>
        </w:tc>
        <w:tc>
          <w:tcPr>
            <w:tcW w:w="8642" w:type="dxa"/>
          </w:tcPr>
          <w:p w14:paraId="2256CE86"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undersigned</w:t>
            </w:r>
          </w:p>
          <w:p w14:paraId="2256CE87" w14:textId="77777777" w:rsidR="00600397" w:rsidRDefault="00600397" w:rsidP="12F7AE45">
            <w:pPr>
              <w:pStyle w:val="NormalWeb"/>
              <w:spacing w:before="0" w:beforeAutospacing="0" w:after="0" w:afterAutospacing="0"/>
              <w:rPr>
                <w:rFonts w:ascii="Verdana,Arial" w:eastAsia="Verdana,Arial" w:hAnsi="Verdana,Arial" w:cs="Verdana,Arial"/>
                <w:sz w:val="18"/>
                <w:szCs w:val="18"/>
              </w:rPr>
            </w:pPr>
            <w:r w:rsidRPr="72612917">
              <w:rPr>
                <w:rFonts w:ascii="Verdana" w:eastAsia="Verdana" w:hAnsi="Verdana" w:cs="Verdana"/>
                <w:sz w:val="18"/>
                <w:szCs w:val="18"/>
                <w:lang w:val="en-GB" w:bidi="en-GB"/>
              </w:rPr>
              <w:t>represented by:</w:t>
            </w:r>
            <w:r w:rsidRPr="72612917">
              <w:rPr>
                <w:lang w:val="en-GB" w:bidi="en-GB"/>
              </w:rPr>
              <w:fldChar w:fldCharType="begin">
                <w:ffData>
                  <w:name w:val="Tekst7"/>
                  <w:enabled/>
                  <w:calcOnExit w:val="0"/>
                  <w:textInput/>
                </w:ffData>
              </w:fldChar>
            </w:r>
            <w:bookmarkStart w:id="0" w:name="Tekst7"/>
            <w:r>
              <w:rPr>
                <w:rFonts w:ascii="Verdana" w:eastAsia="Verdana" w:hAnsi="Verdana" w:cs="Arial"/>
                <w:sz w:val="18"/>
                <w:szCs w:val="20"/>
                <w:lang w:val="en-GB" w:bidi="en-GB"/>
              </w:rPr>
              <w:instrText xml:space="preserve"> FORMTEXT </w:instrText>
            </w:r>
            <w:r w:rsidRPr="72612917">
              <w:rPr>
                <w:rFonts w:ascii="Verdana" w:eastAsia="Verdana" w:hAnsi="Verdana" w:cs="Arial"/>
                <w:sz w:val="18"/>
                <w:szCs w:val="20"/>
                <w:lang w:val="en-GB" w:bidi="en-GB"/>
              </w:rPr>
            </w:r>
            <w:r w:rsidRPr="72612917">
              <w:rPr>
                <w:rFonts w:ascii="Verdana" w:eastAsia="Verdana" w:hAnsi="Verdana" w:cs="Arial"/>
                <w:sz w:val="18"/>
                <w:szCs w:val="20"/>
                <w:lang w:val="en-GB" w:bidi="en-GB"/>
              </w:rPr>
              <w:fldChar w:fldCharType="separate"/>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lang w:val="en-GB" w:bidi="en-GB"/>
              </w:rPr>
              <w:fldChar w:fldCharType="end"/>
            </w:r>
            <w:bookmarkEnd w:id="0"/>
          </w:p>
          <w:p w14:paraId="2256CE88" w14:textId="77777777" w:rsidR="00600397" w:rsidRDefault="00600397" w:rsidP="009D2D60">
            <w:pPr>
              <w:pStyle w:val="NormalWeb"/>
              <w:spacing w:before="0" w:beforeAutospacing="0" w:after="0" w:afterAutospacing="0"/>
              <w:rPr>
                <w:rFonts w:ascii="Verdana" w:hAnsi="Verdana" w:cs="Arial"/>
                <w:sz w:val="18"/>
                <w:szCs w:val="20"/>
              </w:rPr>
            </w:pPr>
          </w:p>
          <w:p w14:paraId="2256CE89" w14:textId="77777777" w:rsidR="00600397" w:rsidRDefault="00600397" w:rsidP="009D2D60">
            <w:pPr>
              <w:pStyle w:val="NormalWeb"/>
              <w:spacing w:before="0" w:beforeAutospacing="0" w:after="0" w:afterAutospacing="0"/>
              <w:rPr>
                <w:rFonts w:ascii="Verdana" w:hAnsi="Verdana" w:cs="Arial"/>
                <w:sz w:val="18"/>
                <w:szCs w:val="20"/>
              </w:rPr>
            </w:pPr>
          </w:p>
          <w:p w14:paraId="2256CE8A"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92" w14:textId="77777777" w:rsidTr="12F7AE45">
        <w:tc>
          <w:tcPr>
            <w:tcW w:w="446" w:type="dxa"/>
          </w:tcPr>
          <w:p w14:paraId="2256CE8C" w14:textId="77777777" w:rsidR="00600397" w:rsidRDefault="00600397" w:rsidP="009D2D60">
            <w:pPr>
              <w:pStyle w:val="NormalWeb"/>
              <w:spacing w:before="0" w:beforeAutospacing="0" w:after="0" w:afterAutospacing="0"/>
              <w:rPr>
                <w:rFonts w:ascii="Verdana" w:hAnsi="Verdana" w:cs="Arial"/>
                <w:sz w:val="18"/>
                <w:szCs w:val="20"/>
              </w:rPr>
            </w:pPr>
          </w:p>
          <w:p w14:paraId="2256CE8D"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8E" w14:textId="77777777" w:rsidR="00600397" w:rsidRDefault="00600397" w:rsidP="009D2D60">
            <w:pPr>
              <w:pStyle w:val="NormalWeb"/>
              <w:spacing w:before="0" w:beforeAutospacing="0" w:after="0" w:afterAutospacing="0"/>
              <w:rPr>
                <w:rFonts w:ascii="Verdana" w:hAnsi="Verdana" w:cs="Arial"/>
                <w:sz w:val="18"/>
                <w:szCs w:val="20"/>
              </w:rPr>
            </w:pPr>
          </w:p>
        </w:tc>
        <w:tc>
          <w:tcPr>
            <w:tcW w:w="8642" w:type="dxa"/>
          </w:tcPr>
          <w:p w14:paraId="2256CE8F"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 xml:space="preserve">hereinafter referred to as </w:t>
            </w:r>
            <w:proofErr w:type="gramStart"/>
            <w:r w:rsidRPr="12F7AE45">
              <w:rPr>
                <w:rFonts w:ascii="Verdana" w:eastAsia="Verdana" w:hAnsi="Verdana" w:cs="Verdana"/>
                <w:sz w:val="18"/>
                <w:szCs w:val="18"/>
                <w:lang w:val="en-GB" w:bidi="en-GB"/>
              </w:rPr>
              <w:t>the ”Client</w:t>
            </w:r>
            <w:proofErr w:type="gramEnd"/>
            <w:r w:rsidRPr="12F7AE45">
              <w:rPr>
                <w:rFonts w:ascii="Verdana" w:eastAsia="Verdana" w:hAnsi="Verdana" w:cs="Verdana"/>
                <w:sz w:val="18"/>
                <w:szCs w:val="18"/>
                <w:lang w:val="en-GB" w:bidi="en-GB"/>
              </w:rPr>
              <w:t>”, and</w:t>
            </w:r>
          </w:p>
          <w:p w14:paraId="2256CE90" w14:textId="77777777" w:rsidR="00600397" w:rsidRDefault="00600397" w:rsidP="009D2D60">
            <w:pPr>
              <w:pStyle w:val="NormalWeb"/>
              <w:spacing w:before="0" w:beforeAutospacing="0" w:after="0" w:afterAutospacing="0"/>
              <w:rPr>
                <w:rFonts w:ascii="Verdana" w:hAnsi="Verdana" w:cs="Arial"/>
                <w:sz w:val="18"/>
                <w:szCs w:val="20"/>
              </w:rPr>
            </w:pPr>
          </w:p>
          <w:p w14:paraId="2256CE9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9A" w14:textId="77777777" w:rsidTr="12F7AE45">
        <w:tc>
          <w:tcPr>
            <w:tcW w:w="446" w:type="dxa"/>
          </w:tcPr>
          <w:p w14:paraId="2256CE93"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94"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1.2</w:t>
            </w:r>
          </w:p>
        </w:tc>
        <w:tc>
          <w:tcPr>
            <w:tcW w:w="8642" w:type="dxa"/>
          </w:tcPr>
          <w:p w14:paraId="2256CE95"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co-signatory</w:t>
            </w:r>
          </w:p>
          <w:p w14:paraId="2256CE96" w14:textId="77777777" w:rsidR="00600397" w:rsidRDefault="00600397" w:rsidP="12F7AE45">
            <w:pPr>
              <w:pStyle w:val="NormalWeb"/>
              <w:spacing w:before="0" w:beforeAutospacing="0" w:after="0" w:afterAutospacing="0"/>
              <w:rPr>
                <w:rFonts w:ascii="Verdana,Arial" w:eastAsia="Verdana,Arial" w:hAnsi="Verdana,Arial" w:cs="Verdana,Arial"/>
                <w:sz w:val="18"/>
                <w:szCs w:val="18"/>
              </w:rPr>
            </w:pPr>
            <w:r w:rsidRPr="72612917">
              <w:rPr>
                <w:rFonts w:ascii="Verdana" w:eastAsia="Verdana" w:hAnsi="Verdana" w:cs="Verdana"/>
                <w:sz w:val="18"/>
                <w:szCs w:val="18"/>
                <w:lang w:val="en-GB" w:bidi="en-GB"/>
              </w:rPr>
              <w:t>represented by:</w:t>
            </w:r>
            <w:r w:rsidRPr="72612917">
              <w:rPr>
                <w:lang w:val="en-GB" w:bidi="en-GB"/>
              </w:rPr>
              <w:fldChar w:fldCharType="begin">
                <w:ffData>
                  <w:name w:val="Tekst6"/>
                  <w:enabled/>
                  <w:calcOnExit w:val="0"/>
                  <w:textInput/>
                </w:ffData>
              </w:fldChar>
            </w:r>
            <w:bookmarkStart w:id="1" w:name="Tekst6"/>
            <w:r>
              <w:rPr>
                <w:rFonts w:ascii="Verdana" w:eastAsia="Verdana" w:hAnsi="Verdana" w:cs="Arial"/>
                <w:sz w:val="18"/>
                <w:szCs w:val="20"/>
                <w:lang w:val="en-GB" w:bidi="en-GB"/>
              </w:rPr>
              <w:instrText xml:space="preserve"> FORMTEXT </w:instrText>
            </w:r>
            <w:r w:rsidRPr="72612917">
              <w:rPr>
                <w:rFonts w:ascii="Verdana" w:eastAsia="Verdana" w:hAnsi="Verdana" w:cs="Arial"/>
                <w:sz w:val="18"/>
                <w:szCs w:val="20"/>
                <w:lang w:val="en-GB" w:bidi="en-GB"/>
              </w:rPr>
            </w:r>
            <w:r w:rsidRPr="72612917">
              <w:rPr>
                <w:rFonts w:ascii="Verdana" w:eastAsia="Verdana" w:hAnsi="Verdana" w:cs="Arial"/>
                <w:sz w:val="18"/>
                <w:szCs w:val="20"/>
                <w:lang w:val="en-GB" w:bidi="en-GB"/>
              </w:rPr>
              <w:fldChar w:fldCharType="separate"/>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rFonts w:ascii="Verdana,Arial" w:eastAsia="Verdana,Arial" w:hAnsi="Verdana,Arial" w:cs="Verdana,Arial"/>
                <w:noProof/>
                <w:sz w:val="18"/>
                <w:szCs w:val="18"/>
                <w:lang w:val="en-GB" w:bidi="en-GB"/>
              </w:rPr>
              <w:t> </w:t>
            </w:r>
            <w:r w:rsidRPr="72612917">
              <w:rPr>
                <w:lang w:val="en-GB" w:bidi="en-GB"/>
              </w:rPr>
              <w:fldChar w:fldCharType="end"/>
            </w:r>
            <w:bookmarkEnd w:id="1"/>
          </w:p>
          <w:p w14:paraId="2256CE97" w14:textId="77777777" w:rsidR="00600397" w:rsidRDefault="00600397" w:rsidP="009D2D60">
            <w:pPr>
              <w:pStyle w:val="NormalWeb"/>
              <w:spacing w:before="0" w:beforeAutospacing="0" w:after="0" w:afterAutospacing="0"/>
              <w:rPr>
                <w:rFonts w:ascii="Verdana" w:hAnsi="Verdana" w:cs="Arial"/>
                <w:sz w:val="18"/>
                <w:szCs w:val="20"/>
              </w:rPr>
            </w:pPr>
          </w:p>
          <w:p w14:paraId="2256CE98" w14:textId="77777777" w:rsidR="00600397" w:rsidRDefault="00600397" w:rsidP="009D2D60">
            <w:pPr>
              <w:pStyle w:val="NormalWeb"/>
              <w:spacing w:before="0" w:beforeAutospacing="0" w:after="0" w:afterAutospacing="0"/>
              <w:rPr>
                <w:rFonts w:ascii="Verdana" w:hAnsi="Verdana" w:cs="Arial"/>
                <w:sz w:val="18"/>
                <w:szCs w:val="20"/>
              </w:rPr>
            </w:pPr>
          </w:p>
          <w:p w14:paraId="2256CE99"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A1" w14:textId="77777777" w:rsidTr="12F7AE45">
        <w:tc>
          <w:tcPr>
            <w:tcW w:w="446" w:type="dxa"/>
          </w:tcPr>
          <w:p w14:paraId="2256CE9B" w14:textId="77777777" w:rsidR="00600397" w:rsidRDefault="00600397" w:rsidP="009D2D60">
            <w:pPr>
              <w:pStyle w:val="NormalWeb"/>
              <w:spacing w:before="0" w:beforeAutospacing="0" w:after="0" w:afterAutospacing="0"/>
              <w:rPr>
                <w:rFonts w:ascii="Verdana" w:hAnsi="Verdana" w:cs="Arial"/>
                <w:sz w:val="18"/>
                <w:szCs w:val="20"/>
              </w:rPr>
            </w:pPr>
          </w:p>
          <w:p w14:paraId="2256CE9C"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9D" w14:textId="77777777" w:rsidR="00600397" w:rsidRDefault="00600397" w:rsidP="009D2D60">
            <w:pPr>
              <w:pStyle w:val="NormalWeb"/>
              <w:spacing w:before="0" w:beforeAutospacing="0" w:after="0" w:afterAutospacing="0"/>
              <w:rPr>
                <w:rFonts w:ascii="Verdana" w:hAnsi="Verdana" w:cs="Arial"/>
                <w:sz w:val="18"/>
                <w:szCs w:val="20"/>
              </w:rPr>
            </w:pPr>
          </w:p>
        </w:tc>
        <w:tc>
          <w:tcPr>
            <w:tcW w:w="8642" w:type="dxa"/>
          </w:tcPr>
          <w:p w14:paraId="2256CE9E"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hereinafter referred to as the (full-service) Consultant,</w:t>
            </w:r>
            <w:r w:rsidR="5BD6DF36">
              <w:rPr>
                <w:lang w:val="en-GB" w:bidi="en-GB"/>
              </w:rPr>
              <w:br/>
            </w:r>
            <w:r w:rsidRPr="12F7AE45">
              <w:rPr>
                <w:rFonts w:ascii="Verdana" w:eastAsia="Verdana" w:hAnsi="Verdana" w:cs="Verdana"/>
                <w:sz w:val="18"/>
                <w:szCs w:val="18"/>
                <w:lang w:val="en-GB" w:bidi="en-GB"/>
              </w:rPr>
              <w:t>have entered into the following Agreement:</w:t>
            </w:r>
          </w:p>
          <w:p w14:paraId="2256CE9F" w14:textId="77777777" w:rsidR="00600397" w:rsidRDefault="00600397" w:rsidP="009D2D60">
            <w:pPr>
              <w:pStyle w:val="NormalWeb"/>
              <w:spacing w:before="0" w:beforeAutospacing="0" w:after="0" w:afterAutospacing="0"/>
              <w:rPr>
                <w:rFonts w:ascii="Verdana" w:hAnsi="Verdana" w:cs="Arial"/>
                <w:sz w:val="18"/>
                <w:szCs w:val="20"/>
              </w:rPr>
            </w:pPr>
          </w:p>
          <w:p w14:paraId="2256CEA0"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A4" w14:textId="77777777" w:rsidTr="12F7AE45">
        <w:trPr>
          <w:cantSplit/>
        </w:trPr>
        <w:tc>
          <w:tcPr>
            <w:tcW w:w="446" w:type="dxa"/>
          </w:tcPr>
          <w:p w14:paraId="2256CEA2"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sz w:val="18"/>
                <w:szCs w:val="18"/>
                <w:lang w:val="en-GB" w:bidi="en-GB"/>
              </w:rPr>
              <w:t>2.</w:t>
            </w:r>
          </w:p>
        </w:tc>
        <w:tc>
          <w:tcPr>
            <w:tcW w:w="9332" w:type="dxa"/>
            <w:gridSpan w:val="2"/>
          </w:tcPr>
          <w:p w14:paraId="2256CEA3"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sz w:val="18"/>
                <w:szCs w:val="18"/>
                <w:lang w:val="en-GB" w:bidi="en-GB"/>
              </w:rPr>
              <w:t>The Task</w:t>
            </w:r>
          </w:p>
        </w:tc>
      </w:tr>
      <w:tr w:rsidR="00600397" w14:paraId="2256CEAB" w14:textId="77777777" w:rsidTr="12F7AE45">
        <w:tc>
          <w:tcPr>
            <w:tcW w:w="446" w:type="dxa"/>
          </w:tcPr>
          <w:p w14:paraId="2256CEA5"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A6"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2.1</w:t>
            </w:r>
          </w:p>
        </w:tc>
        <w:tc>
          <w:tcPr>
            <w:tcW w:w="8642" w:type="dxa"/>
          </w:tcPr>
          <w:p w14:paraId="2256CEA7"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Agreement comprises technical consultancy services and assistance in relation to</w:t>
            </w:r>
          </w:p>
          <w:p w14:paraId="2256CEA8"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1"/>
                  <w:enabled/>
                  <w:calcOnExit w:val="0"/>
                  <w:textInput/>
                </w:ffData>
              </w:fldChar>
            </w:r>
            <w:bookmarkStart w:id="2" w:name="Tekst1"/>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2"/>
          </w:p>
          <w:p w14:paraId="2256CEA9" w14:textId="77777777" w:rsidR="00600397" w:rsidRDefault="00600397" w:rsidP="009D2D60">
            <w:pPr>
              <w:pStyle w:val="NormalWeb"/>
              <w:spacing w:before="0" w:beforeAutospacing="0" w:after="0" w:afterAutospacing="0"/>
              <w:rPr>
                <w:rFonts w:ascii="Verdana" w:hAnsi="Verdana" w:cs="Arial"/>
                <w:sz w:val="18"/>
                <w:szCs w:val="20"/>
              </w:rPr>
            </w:pPr>
          </w:p>
          <w:p w14:paraId="2256CEAA"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B2" w14:textId="77777777" w:rsidTr="12F7AE45">
        <w:tc>
          <w:tcPr>
            <w:tcW w:w="446" w:type="dxa"/>
          </w:tcPr>
          <w:p w14:paraId="2256CEAC"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AD"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2.2</w:t>
            </w:r>
          </w:p>
        </w:tc>
        <w:tc>
          <w:tcPr>
            <w:tcW w:w="8642" w:type="dxa"/>
          </w:tcPr>
          <w:p w14:paraId="2256CEAE"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following subconsultants are involved in the Project</w:t>
            </w:r>
          </w:p>
          <w:p w14:paraId="2256CEAF"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2"/>
                  <w:enabled/>
                  <w:calcOnExit w:val="0"/>
                  <w:textInput/>
                </w:ffData>
              </w:fldChar>
            </w:r>
            <w:bookmarkStart w:id="3" w:name="Tekst2"/>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3"/>
          </w:p>
          <w:p w14:paraId="2256CEB0" w14:textId="77777777" w:rsidR="00600397" w:rsidRDefault="00600397" w:rsidP="009D2D60">
            <w:pPr>
              <w:pStyle w:val="NormalWeb"/>
              <w:spacing w:before="0" w:beforeAutospacing="0" w:after="0" w:afterAutospacing="0"/>
              <w:rPr>
                <w:rFonts w:ascii="Verdana" w:hAnsi="Verdana" w:cs="Arial"/>
                <w:sz w:val="18"/>
                <w:szCs w:val="20"/>
              </w:rPr>
            </w:pPr>
          </w:p>
          <w:p w14:paraId="2256CEB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BA" w14:textId="77777777" w:rsidTr="12F7AE45">
        <w:tc>
          <w:tcPr>
            <w:tcW w:w="446" w:type="dxa"/>
          </w:tcPr>
          <w:p w14:paraId="2256CEB3"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B4"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2.3</w:t>
            </w:r>
          </w:p>
        </w:tc>
        <w:tc>
          <w:tcPr>
            <w:tcW w:w="8642" w:type="dxa"/>
          </w:tcPr>
          <w:p w14:paraId="2256CEB5" w14:textId="77777777" w:rsidR="68000B7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The (full-service) Consultant’s key employees:</w:t>
            </w:r>
          </w:p>
          <w:p w14:paraId="2256CEB6" w14:textId="77777777" w:rsidR="68000B70" w:rsidRDefault="68000B70" w:rsidP="68000B70">
            <w:pPr>
              <w:pStyle w:val="NormalWeb"/>
              <w:spacing w:before="0" w:beforeAutospacing="0" w:after="0" w:afterAutospacing="0"/>
              <w:rPr>
                <w:rFonts w:ascii="Verdana,Arial" w:eastAsia="Verdana,Arial" w:hAnsi="Verdana,Arial" w:cs="Verdana,Arial"/>
                <w:noProof/>
                <w:sz w:val="18"/>
                <w:szCs w:val="18"/>
              </w:rPr>
            </w:pPr>
          </w:p>
          <w:p w14:paraId="2256CEB7"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3"/>
                  <w:enabled/>
                  <w:calcOnExit w:val="0"/>
                  <w:textInput/>
                </w:ffData>
              </w:fldChar>
            </w:r>
            <w:bookmarkStart w:id="4" w:name="Tekst3"/>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4"/>
          </w:p>
          <w:p w14:paraId="2256CEB8" w14:textId="77777777" w:rsidR="00600397" w:rsidRDefault="00600397" w:rsidP="009D2D60">
            <w:pPr>
              <w:pStyle w:val="NormalWeb"/>
              <w:spacing w:before="0" w:beforeAutospacing="0" w:after="0" w:afterAutospacing="0"/>
              <w:rPr>
                <w:rFonts w:ascii="Verdana" w:hAnsi="Verdana" w:cs="Arial"/>
                <w:sz w:val="18"/>
                <w:szCs w:val="20"/>
              </w:rPr>
            </w:pPr>
          </w:p>
          <w:p w14:paraId="2256CEB9"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EC1" w14:textId="77777777" w:rsidTr="12F7AE45">
        <w:tc>
          <w:tcPr>
            <w:tcW w:w="446" w:type="dxa"/>
          </w:tcPr>
          <w:p w14:paraId="2256CEBB" w14:textId="77777777" w:rsidR="00600397" w:rsidRDefault="00600397" w:rsidP="009D2D60">
            <w:pPr>
              <w:pStyle w:val="NormalWeb"/>
              <w:spacing w:before="0" w:beforeAutospacing="0" w:after="0" w:afterAutospacing="0"/>
              <w:rPr>
                <w:rFonts w:ascii="Verdana" w:hAnsi="Verdana" w:cs="Arial"/>
                <w:sz w:val="18"/>
                <w:szCs w:val="20"/>
              </w:rPr>
            </w:pPr>
          </w:p>
        </w:tc>
        <w:tc>
          <w:tcPr>
            <w:tcW w:w="690" w:type="dxa"/>
          </w:tcPr>
          <w:p w14:paraId="2256CEBC"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2.4</w:t>
            </w:r>
          </w:p>
        </w:tc>
        <w:tc>
          <w:tcPr>
            <w:tcW w:w="8642" w:type="dxa"/>
          </w:tcPr>
          <w:p w14:paraId="2256CEBD" w14:textId="2A229219" w:rsidR="68000B70" w:rsidRDefault="00D74FE9"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The Client’s employees who represents the Client in dealings with the Consultant in accordance with ABR 18, Section 22</w:t>
            </w:r>
          </w:p>
          <w:p w14:paraId="2256CEBE"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4"/>
                  <w:enabled/>
                  <w:calcOnExit w:val="0"/>
                  <w:textInput/>
                </w:ffData>
              </w:fldChar>
            </w:r>
            <w:bookmarkStart w:id="5" w:name="Tekst4"/>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5"/>
          </w:p>
          <w:p w14:paraId="2256CEBF" w14:textId="77777777" w:rsidR="00600397" w:rsidRDefault="00600397" w:rsidP="009D2D60">
            <w:pPr>
              <w:pStyle w:val="NormalWeb"/>
              <w:spacing w:before="0" w:beforeAutospacing="0" w:after="0" w:afterAutospacing="0"/>
              <w:rPr>
                <w:rFonts w:ascii="Verdana" w:hAnsi="Verdana" w:cs="Arial"/>
                <w:sz w:val="18"/>
                <w:szCs w:val="20"/>
              </w:rPr>
            </w:pPr>
          </w:p>
          <w:p w14:paraId="2256CEC0" w14:textId="77777777" w:rsidR="00600397" w:rsidRDefault="00600397" w:rsidP="009D2D60">
            <w:pPr>
              <w:pStyle w:val="NormalWeb"/>
              <w:spacing w:before="0" w:beforeAutospacing="0" w:after="0" w:afterAutospacing="0"/>
              <w:rPr>
                <w:rFonts w:ascii="Verdana,Arial" w:eastAsia="Verdana,Arial" w:hAnsi="Verdana,Arial" w:cs="Verdana,Arial"/>
                <w:sz w:val="18"/>
                <w:szCs w:val="18"/>
              </w:rPr>
            </w:pPr>
          </w:p>
        </w:tc>
      </w:tr>
      <w:tr w:rsidR="007A29CC" w14:paraId="2256CEC6" w14:textId="77777777" w:rsidTr="12F7AE45">
        <w:tc>
          <w:tcPr>
            <w:tcW w:w="446" w:type="dxa"/>
          </w:tcPr>
          <w:p w14:paraId="2256CEC2" w14:textId="77777777" w:rsidR="007A29CC" w:rsidRDefault="007A29CC" w:rsidP="009D2D60">
            <w:pPr>
              <w:pStyle w:val="NormalWeb"/>
              <w:spacing w:before="0" w:beforeAutospacing="0" w:after="0" w:afterAutospacing="0"/>
              <w:rPr>
                <w:rFonts w:ascii="Verdana" w:hAnsi="Verdana" w:cs="Arial"/>
                <w:sz w:val="18"/>
                <w:szCs w:val="20"/>
              </w:rPr>
            </w:pPr>
          </w:p>
        </w:tc>
        <w:tc>
          <w:tcPr>
            <w:tcW w:w="690" w:type="dxa"/>
          </w:tcPr>
          <w:p w14:paraId="2256CEC3" w14:textId="77777777" w:rsidR="007A29CC" w:rsidRPr="5BD6DF36"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2.5</w:t>
            </w:r>
          </w:p>
        </w:tc>
        <w:tc>
          <w:tcPr>
            <w:tcW w:w="8642" w:type="dxa"/>
          </w:tcPr>
          <w:p w14:paraId="2256CEC4" w14:textId="7929F8B1" w:rsidR="007A29CC" w:rsidRDefault="001854FE"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The Client’s other consultants for the task</w:t>
            </w:r>
          </w:p>
          <w:p w14:paraId="2256CEC5" w14:textId="77777777" w:rsidR="007A29CC" w:rsidRPr="26C04F92" w:rsidRDefault="007A29CC" w:rsidP="68000B70">
            <w:pPr>
              <w:pStyle w:val="NormalWeb"/>
              <w:spacing w:before="0" w:beforeAutospacing="0" w:after="0" w:afterAutospacing="0"/>
              <w:rPr>
                <w:rFonts w:ascii="Verdana" w:eastAsia="Verdana" w:hAnsi="Verdana" w:cs="Verdana"/>
                <w:sz w:val="18"/>
                <w:szCs w:val="18"/>
              </w:rPr>
            </w:pPr>
            <w:r>
              <w:rPr>
                <w:rFonts w:ascii="Verdana" w:eastAsia="Verdana" w:hAnsi="Verdana" w:cs="Arial"/>
                <w:sz w:val="18"/>
                <w:szCs w:val="20"/>
                <w:lang w:val="en-GB" w:bidi="en-GB"/>
              </w:rPr>
              <w:fldChar w:fldCharType="begin">
                <w:ffData>
                  <w:name w:val="Tekst3"/>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r>
    </w:tbl>
    <w:p w14:paraId="2256CEC7" w14:textId="77777777" w:rsidR="00600397" w:rsidRDefault="00600397" w:rsidP="00600397"/>
    <w:tbl>
      <w:tblPr>
        <w:tblW w:w="9778" w:type="dxa"/>
        <w:tblCellMar>
          <w:left w:w="70" w:type="dxa"/>
          <w:right w:w="70" w:type="dxa"/>
        </w:tblCellMar>
        <w:tblLook w:val="0000" w:firstRow="0" w:lastRow="0" w:firstColumn="0" w:lastColumn="0" w:noHBand="0" w:noVBand="0"/>
      </w:tblPr>
      <w:tblGrid>
        <w:gridCol w:w="461"/>
        <w:gridCol w:w="698"/>
        <w:gridCol w:w="15"/>
        <w:gridCol w:w="8270"/>
        <w:gridCol w:w="15"/>
        <w:gridCol w:w="319"/>
      </w:tblGrid>
      <w:tr w:rsidR="00600397" w14:paraId="2256CECA" w14:textId="77777777" w:rsidTr="12F7AE45">
        <w:trPr>
          <w:gridAfter w:val="1"/>
          <w:wAfter w:w="319" w:type="dxa"/>
          <w:cantSplit/>
        </w:trPr>
        <w:tc>
          <w:tcPr>
            <w:tcW w:w="461" w:type="dxa"/>
          </w:tcPr>
          <w:p w14:paraId="2256CEC8"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sz w:val="18"/>
                <w:szCs w:val="18"/>
                <w:lang w:val="en-GB" w:bidi="en-GB"/>
              </w:rPr>
              <w:t>3.</w:t>
            </w:r>
          </w:p>
        </w:tc>
        <w:tc>
          <w:tcPr>
            <w:tcW w:w="8998" w:type="dxa"/>
            <w:gridSpan w:val="4"/>
          </w:tcPr>
          <w:p w14:paraId="2256CEC9" w14:textId="77777777" w:rsidR="00600397" w:rsidRDefault="12F7AE45" w:rsidP="12F7AE45">
            <w:pPr>
              <w:spacing w:before="60" w:after="60"/>
              <w:rPr>
                <w:rFonts w:ascii="Verdana" w:eastAsia="Verdana" w:hAnsi="Verdana" w:cs="Verdana"/>
                <w:b/>
                <w:bCs/>
                <w:sz w:val="18"/>
                <w:szCs w:val="18"/>
              </w:rPr>
            </w:pPr>
            <w:r w:rsidRPr="12F7AE45">
              <w:rPr>
                <w:rFonts w:ascii="Verdana" w:eastAsia="Verdana" w:hAnsi="Verdana" w:cs="Verdana"/>
                <w:b/>
                <w:sz w:val="18"/>
                <w:szCs w:val="18"/>
                <w:lang w:val="en-GB" w:bidi="en-GB"/>
              </w:rPr>
              <w:t>The Agreement</w:t>
            </w:r>
          </w:p>
        </w:tc>
      </w:tr>
      <w:tr w:rsidR="003D6DA1" w14:paraId="2256CED5" w14:textId="77777777" w:rsidTr="12F7AE45">
        <w:trPr>
          <w:gridAfter w:val="1"/>
          <w:wAfter w:w="319" w:type="dxa"/>
        </w:trPr>
        <w:tc>
          <w:tcPr>
            <w:tcW w:w="461" w:type="dxa"/>
          </w:tcPr>
          <w:p w14:paraId="2256CECB" w14:textId="77777777" w:rsidR="00600397" w:rsidRDefault="00600397" w:rsidP="009D2D60">
            <w:pPr>
              <w:pStyle w:val="NormalWeb"/>
              <w:spacing w:before="0" w:beforeAutospacing="0" w:after="0" w:afterAutospacing="0"/>
              <w:rPr>
                <w:rFonts w:ascii="Verdana" w:hAnsi="Verdana" w:cs="Arial"/>
                <w:sz w:val="18"/>
                <w:szCs w:val="20"/>
              </w:rPr>
            </w:pPr>
          </w:p>
        </w:tc>
        <w:tc>
          <w:tcPr>
            <w:tcW w:w="713" w:type="dxa"/>
            <w:gridSpan w:val="2"/>
          </w:tcPr>
          <w:p w14:paraId="2256CECC"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3.1</w:t>
            </w:r>
          </w:p>
        </w:tc>
        <w:tc>
          <w:tcPr>
            <w:tcW w:w="8285" w:type="dxa"/>
            <w:gridSpan w:val="2"/>
          </w:tcPr>
          <w:p w14:paraId="17D26F50" w14:textId="247FC3D8" w:rsidR="00FE2AE4" w:rsidRDefault="00FE2AE4" w:rsidP="005270D8">
            <w:pPr>
              <w:pStyle w:val="NormalWeb"/>
              <w:rPr>
                <w:rFonts w:ascii="Verdana" w:eastAsia="Verdana" w:hAnsi="Verdana" w:cs="Verdana"/>
                <w:sz w:val="18"/>
                <w:szCs w:val="18"/>
              </w:rPr>
            </w:pPr>
            <w:r>
              <w:rPr>
                <w:rFonts w:ascii="Verdana" w:eastAsia="Verdana" w:hAnsi="Verdana" w:cs="Verdana"/>
                <w:sz w:val="18"/>
                <w:szCs w:val="18"/>
                <w:lang w:val="en-GB" w:bidi="en-GB"/>
              </w:rPr>
              <w:t xml:space="preserve">Prioritised hierarchy </w:t>
            </w:r>
            <w:proofErr w:type="gramStart"/>
            <w:r>
              <w:rPr>
                <w:rFonts w:ascii="Verdana" w:eastAsia="Verdana" w:hAnsi="Verdana" w:cs="Verdana"/>
                <w:sz w:val="18"/>
                <w:szCs w:val="18"/>
                <w:lang w:val="en-GB" w:bidi="en-GB"/>
              </w:rPr>
              <w:t>in the event that</w:t>
            </w:r>
            <w:proofErr w:type="gramEnd"/>
            <w:r>
              <w:rPr>
                <w:rFonts w:ascii="Verdana" w:eastAsia="Verdana" w:hAnsi="Verdana" w:cs="Verdana"/>
                <w:sz w:val="18"/>
                <w:szCs w:val="18"/>
                <w:lang w:val="en-GB" w:bidi="en-GB"/>
              </w:rPr>
              <w:t xml:space="preserve"> disagreement should arise between the provisions of the Agreement documents:</w:t>
            </w:r>
          </w:p>
          <w:p w14:paraId="02D0093F" w14:textId="5E827B59" w:rsidR="00FE2AE4" w:rsidRPr="00FE2AE4" w:rsidRDefault="00FE2AE4" w:rsidP="00FE2AE4">
            <w:pPr>
              <w:pStyle w:val="NormalWeb"/>
              <w:rPr>
                <w:rFonts w:ascii="Verdana" w:eastAsia="Verdana" w:hAnsi="Verdana" w:cs="Verdana"/>
                <w:sz w:val="18"/>
                <w:szCs w:val="18"/>
              </w:rPr>
            </w:pPr>
            <w:r>
              <w:rPr>
                <w:rFonts w:ascii="Verdana" w:eastAsia="Verdana" w:hAnsi="Verdana" w:cs="Verdana"/>
                <w:sz w:val="18"/>
                <w:szCs w:val="18"/>
                <w:lang w:val="en-GB" w:bidi="en-GB"/>
              </w:rPr>
              <w:t>The Consultant Agreement</w:t>
            </w:r>
            <w:r w:rsidR="005270D8">
              <w:rPr>
                <w:lang w:val="en-GB" w:bidi="en-GB"/>
              </w:rPr>
              <w:t xml:space="preserve"> </w:t>
            </w:r>
          </w:p>
          <w:p w14:paraId="6DF138A5" w14:textId="50ABD161" w:rsidR="00FE2AE4" w:rsidRPr="00FE2AE4" w:rsidRDefault="005270D8" w:rsidP="00FE2AE4">
            <w:pPr>
              <w:pStyle w:val="NormalWeb"/>
              <w:rPr>
                <w:rFonts w:ascii="Verdana,Arial" w:eastAsia="Verdana,Arial" w:hAnsi="Verdana,Arial" w:cs="Verdana,Arial"/>
                <w:sz w:val="18"/>
                <w:szCs w:val="18"/>
                <w:u w:val="single"/>
              </w:rPr>
            </w:pPr>
            <w:r w:rsidRPr="005270D8">
              <w:rPr>
                <w:rFonts w:ascii="Verdana" w:eastAsia="Verdana" w:hAnsi="Verdana" w:cs="Verdana"/>
                <w:sz w:val="18"/>
                <w:szCs w:val="18"/>
                <w:lang w:val="en-GB" w:bidi="en-GB"/>
              </w:rPr>
              <w:t xml:space="preserve">The Danish Association of Architectural Firms and FRI’s Description of Services for Building and Landscape 2018 with the amendments, addenda and specifications specified in </w:t>
            </w:r>
            <w:r w:rsidRPr="005270D8">
              <w:rPr>
                <w:rFonts w:ascii="Verdana" w:eastAsia="Verdana" w:hAnsi="Verdana" w:cs="Verdana"/>
                <w:sz w:val="18"/>
                <w:szCs w:val="18"/>
                <w:u w:val="single"/>
                <w:lang w:val="en-GB" w:bidi="en-GB"/>
              </w:rPr>
              <w:t>Annex 1.</w:t>
            </w:r>
            <w:r w:rsidRPr="005270D8">
              <w:rPr>
                <w:rFonts w:ascii="Verdana" w:eastAsia="Verdana" w:hAnsi="Verdana" w:cs="Verdana"/>
                <w:sz w:val="18"/>
                <w:szCs w:val="18"/>
                <w:lang w:val="en-GB" w:bidi="en-GB"/>
              </w:rPr>
              <w:t xml:space="preserve"> </w:t>
            </w:r>
          </w:p>
          <w:p w14:paraId="42876288" w14:textId="77777777" w:rsidR="00FE2AE4" w:rsidRPr="00FE2AE4" w:rsidRDefault="12F7AE45" w:rsidP="00FE2AE4">
            <w:pPr>
              <w:pStyle w:val="NormalWeb"/>
              <w:rPr>
                <w:rFonts w:ascii="Verdana,Arial" w:eastAsia="Verdana,Arial" w:hAnsi="Verdana,Arial" w:cs="Verdana,Arial"/>
                <w:sz w:val="18"/>
                <w:szCs w:val="18"/>
                <w:u w:val="single"/>
              </w:rPr>
            </w:pPr>
            <w:r w:rsidRPr="12F7AE45">
              <w:rPr>
                <w:rFonts w:ascii="Verdana" w:eastAsia="Verdana" w:hAnsi="Verdana" w:cs="Verdana"/>
                <w:sz w:val="18"/>
                <w:szCs w:val="18"/>
                <w:lang w:val="en-GB" w:bidi="en-GB"/>
              </w:rPr>
              <w:t xml:space="preserve">ABR 18 with the amendments and addenda specified in this Agreement, cf. </w:t>
            </w:r>
            <w:r w:rsidRPr="12F7AE45">
              <w:rPr>
                <w:rFonts w:ascii="Verdana" w:eastAsia="Verdana" w:hAnsi="Verdana" w:cs="Verdana"/>
                <w:sz w:val="18"/>
                <w:szCs w:val="18"/>
                <w:u w:val="single"/>
                <w:lang w:val="en-GB" w:bidi="en-GB"/>
              </w:rPr>
              <w:t>Annex 2.</w:t>
            </w:r>
            <w:r w:rsidRPr="12F7AE45">
              <w:rPr>
                <w:rFonts w:ascii="Verdana" w:eastAsia="Verdana" w:hAnsi="Verdana" w:cs="Verdana"/>
                <w:sz w:val="18"/>
                <w:szCs w:val="18"/>
                <w:lang w:val="en-GB" w:bidi="en-GB"/>
              </w:rPr>
              <w:t xml:space="preserve"> </w:t>
            </w:r>
          </w:p>
          <w:p w14:paraId="2256CED3" w14:textId="2C303CCF" w:rsidR="00B0392B" w:rsidRDefault="00EC3930" w:rsidP="008B164F">
            <w:pPr>
              <w:pStyle w:val="NormalWeb"/>
              <w:rPr>
                <w:rFonts w:ascii="Verdana,Arial" w:eastAsia="Verdana,Arial" w:hAnsi="Verdana,Arial" w:cs="Verdana,Arial"/>
                <w:sz w:val="18"/>
                <w:szCs w:val="18"/>
              </w:rPr>
            </w:pPr>
            <w:r>
              <w:rPr>
                <w:rFonts w:ascii="Verdana" w:eastAsia="Verdana" w:hAnsi="Verdana" w:cs="Verdana"/>
                <w:sz w:val="18"/>
                <w:szCs w:val="18"/>
                <w:lang w:val="en-GB" w:bidi="en-GB"/>
              </w:rPr>
              <w:lastRenderedPageBreak/>
              <w:t xml:space="preserve">Any IKT specification, cf. </w:t>
            </w:r>
            <w:r>
              <w:rPr>
                <w:rFonts w:ascii="Verdana" w:eastAsia="Verdana" w:hAnsi="Verdana" w:cs="Verdana"/>
                <w:sz w:val="18"/>
                <w:szCs w:val="18"/>
                <w:u w:val="single"/>
                <w:lang w:val="en-GB" w:bidi="en-GB"/>
              </w:rPr>
              <w:t>Annex 3.</w:t>
            </w:r>
          </w:p>
          <w:p w14:paraId="2256CED4" w14:textId="77777777" w:rsidR="00600397" w:rsidRDefault="00600397" w:rsidP="00E92B42">
            <w:pPr>
              <w:pStyle w:val="NormalWeb"/>
              <w:spacing w:before="0" w:beforeAutospacing="0" w:after="0" w:afterAutospacing="0"/>
              <w:rPr>
                <w:rFonts w:ascii="Verdana" w:hAnsi="Verdana" w:cs="Arial"/>
                <w:sz w:val="18"/>
                <w:szCs w:val="20"/>
              </w:rPr>
            </w:pPr>
          </w:p>
        </w:tc>
      </w:tr>
      <w:tr w:rsidR="003D6DA1" w14:paraId="2256CEDB" w14:textId="77777777" w:rsidTr="12F7AE45">
        <w:trPr>
          <w:gridAfter w:val="1"/>
          <w:wAfter w:w="319" w:type="dxa"/>
        </w:trPr>
        <w:tc>
          <w:tcPr>
            <w:tcW w:w="461" w:type="dxa"/>
          </w:tcPr>
          <w:p w14:paraId="2256CED6" w14:textId="77777777" w:rsidR="00600397" w:rsidRDefault="00600397" w:rsidP="009D2D60">
            <w:pPr>
              <w:pStyle w:val="NormalWeb"/>
              <w:spacing w:before="0" w:beforeAutospacing="0" w:after="0" w:afterAutospacing="0"/>
              <w:rPr>
                <w:rFonts w:ascii="Verdana" w:hAnsi="Verdana" w:cs="Arial"/>
                <w:sz w:val="18"/>
                <w:szCs w:val="20"/>
              </w:rPr>
            </w:pPr>
          </w:p>
        </w:tc>
        <w:tc>
          <w:tcPr>
            <w:tcW w:w="713" w:type="dxa"/>
            <w:gridSpan w:val="2"/>
          </w:tcPr>
          <w:p w14:paraId="2256CED7"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3.2</w:t>
            </w:r>
          </w:p>
        </w:tc>
        <w:tc>
          <w:tcPr>
            <w:tcW w:w="8285" w:type="dxa"/>
            <w:gridSpan w:val="2"/>
          </w:tcPr>
          <w:p w14:paraId="2256CED8" w14:textId="7B3FD91B"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The following Client materials</w:t>
            </w:r>
          </w:p>
          <w:p w14:paraId="2256CED9" w14:textId="77777777" w:rsidR="00600397" w:rsidRDefault="00600397" w:rsidP="00E92B42">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8"/>
                  <w:enabled/>
                  <w:calcOnExit w:val="0"/>
                  <w:textInput/>
                </w:ffData>
              </w:fldChar>
            </w:r>
            <w:bookmarkStart w:id="6" w:name="Tekst8"/>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6"/>
          </w:p>
          <w:p w14:paraId="2256CEDA" w14:textId="77777777" w:rsidR="00600397" w:rsidRDefault="00600397" w:rsidP="00E92B42">
            <w:pPr>
              <w:pStyle w:val="NormalWeb"/>
              <w:spacing w:before="0" w:beforeAutospacing="0" w:after="0" w:afterAutospacing="0"/>
              <w:rPr>
                <w:rFonts w:ascii="Verdana" w:hAnsi="Verdana" w:cs="Arial"/>
                <w:sz w:val="18"/>
                <w:szCs w:val="20"/>
              </w:rPr>
            </w:pPr>
          </w:p>
        </w:tc>
      </w:tr>
      <w:tr w:rsidR="003D6DA1" w14:paraId="2256CEE2" w14:textId="77777777" w:rsidTr="12F7AE45">
        <w:trPr>
          <w:gridAfter w:val="2"/>
          <w:wAfter w:w="334" w:type="dxa"/>
        </w:trPr>
        <w:tc>
          <w:tcPr>
            <w:tcW w:w="461" w:type="dxa"/>
          </w:tcPr>
          <w:p w14:paraId="2256CEDC" w14:textId="77777777" w:rsidR="00600397" w:rsidRDefault="00600397" w:rsidP="009D2D60">
            <w:pPr>
              <w:pStyle w:val="NormalWeb"/>
              <w:spacing w:before="0" w:beforeAutospacing="0" w:after="0" w:afterAutospacing="0"/>
              <w:rPr>
                <w:rFonts w:ascii="Verdana" w:hAnsi="Verdana" w:cs="Arial"/>
                <w:sz w:val="18"/>
                <w:szCs w:val="20"/>
              </w:rPr>
            </w:pPr>
          </w:p>
        </w:tc>
        <w:tc>
          <w:tcPr>
            <w:tcW w:w="698" w:type="dxa"/>
          </w:tcPr>
          <w:p w14:paraId="2256CEDD" w14:textId="77777777" w:rsidR="00600397" w:rsidRDefault="12F7AE45" w:rsidP="12F7AE45">
            <w:pPr>
              <w:pStyle w:val="NormalWeb"/>
              <w:spacing w:before="0" w:beforeAutospacing="0" w:after="0" w:after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3.3</w:t>
            </w:r>
          </w:p>
        </w:tc>
        <w:tc>
          <w:tcPr>
            <w:tcW w:w="8285" w:type="dxa"/>
            <w:gridSpan w:val="2"/>
          </w:tcPr>
          <w:p w14:paraId="2256CEDE" w14:textId="77777777" w:rsidR="0060039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Authority in accordance with ABR 18, Section 26</w:t>
            </w:r>
          </w:p>
          <w:p w14:paraId="2256CEDF" w14:textId="77777777" w:rsidR="00600397" w:rsidRDefault="00600397" w:rsidP="00E92B42">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9"/>
                  <w:enabled/>
                  <w:calcOnExit w:val="0"/>
                  <w:textInput/>
                </w:ffData>
              </w:fldChar>
            </w:r>
            <w:bookmarkStart w:id="7" w:name="Tekst9"/>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7"/>
          </w:p>
          <w:p w14:paraId="2256CEE0" w14:textId="77777777" w:rsidR="00600397" w:rsidRDefault="00600397" w:rsidP="00E92B42">
            <w:pPr>
              <w:pStyle w:val="NormalWeb"/>
              <w:spacing w:before="0" w:beforeAutospacing="0" w:after="0" w:afterAutospacing="0"/>
              <w:rPr>
                <w:rFonts w:ascii="Verdana" w:hAnsi="Verdana" w:cs="Arial"/>
                <w:sz w:val="18"/>
                <w:szCs w:val="20"/>
              </w:rPr>
            </w:pPr>
          </w:p>
          <w:p w14:paraId="2256CEE1" w14:textId="77777777" w:rsidR="00600397" w:rsidRDefault="00600397" w:rsidP="00E92B42">
            <w:pPr>
              <w:pStyle w:val="NormalWeb"/>
              <w:spacing w:before="0" w:beforeAutospacing="0" w:after="0" w:afterAutospacing="0"/>
              <w:rPr>
                <w:rFonts w:ascii="Verdana" w:hAnsi="Verdana" w:cs="Arial"/>
                <w:sz w:val="18"/>
                <w:szCs w:val="20"/>
              </w:rPr>
            </w:pPr>
          </w:p>
        </w:tc>
      </w:tr>
      <w:tr w:rsidR="00600397" w14:paraId="2256CEE5" w14:textId="77777777" w:rsidTr="12F7AE45">
        <w:trPr>
          <w:gridAfter w:val="2"/>
          <w:wAfter w:w="334" w:type="dxa"/>
          <w:cantSplit/>
        </w:trPr>
        <w:tc>
          <w:tcPr>
            <w:tcW w:w="461" w:type="dxa"/>
          </w:tcPr>
          <w:p w14:paraId="2256CEE3"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sz w:val="18"/>
                <w:szCs w:val="18"/>
                <w:lang w:val="en-GB" w:bidi="en-GB"/>
              </w:rPr>
              <w:t>4.</w:t>
            </w:r>
          </w:p>
        </w:tc>
        <w:tc>
          <w:tcPr>
            <w:tcW w:w="8983" w:type="dxa"/>
            <w:gridSpan w:val="3"/>
          </w:tcPr>
          <w:p w14:paraId="2256CEE4" w14:textId="77777777" w:rsidR="00600397" w:rsidRDefault="12F7AE45" w:rsidP="12F7AE45">
            <w:pPr>
              <w:spacing w:before="60" w:after="60"/>
              <w:rPr>
                <w:rFonts w:ascii="Verdana,Arial" w:eastAsia="Verdana,Arial" w:hAnsi="Verdana,Arial" w:cs="Verdana,Arial"/>
                <w:b/>
                <w:bCs/>
                <w:sz w:val="18"/>
                <w:szCs w:val="18"/>
              </w:rPr>
            </w:pPr>
            <w:r w:rsidRPr="12F7AE45">
              <w:rPr>
                <w:rFonts w:ascii="Verdana" w:eastAsia="Verdana" w:hAnsi="Verdana" w:cs="Verdana"/>
                <w:b/>
                <w:sz w:val="18"/>
                <w:szCs w:val="18"/>
                <w:lang w:val="en-GB" w:bidi="en-GB"/>
              </w:rPr>
              <w:t>Services to be provided by the Consultant, cf. Annex 4</w:t>
            </w:r>
          </w:p>
        </w:tc>
      </w:tr>
      <w:tr w:rsidR="00600397" w14:paraId="2256CEF0" w14:textId="77777777" w:rsidTr="12F7AE45">
        <w:trPr>
          <w:gridAfter w:val="2"/>
          <w:wAfter w:w="334" w:type="dxa"/>
          <w:cantSplit/>
        </w:trPr>
        <w:tc>
          <w:tcPr>
            <w:tcW w:w="461" w:type="dxa"/>
          </w:tcPr>
          <w:p w14:paraId="2256CEE6" w14:textId="77777777" w:rsidR="00600397" w:rsidRDefault="00600397" w:rsidP="009D2D60">
            <w:pPr>
              <w:pStyle w:val="NormalWeb"/>
              <w:spacing w:before="0" w:beforeAutospacing="0" w:after="0" w:afterAutospacing="0"/>
              <w:rPr>
                <w:rFonts w:ascii="Verdana" w:hAnsi="Verdana" w:cs="Arial"/>
                <w:sz w:val="18"/>
                <w:szCs w:val="20"/>
              </w:rPr>
            </w:pPr>
          </w:p>
        </w:tc>
        <w:tc>
          <w:tcPr>
            <w:tcW w:w="8983" w:type="dxa"/>
            <w:gridSpan w:val="3"/>
          </w:tcPr>
          <w:p w14:paraId="2256CEE7" w14:textId="77777777" w:rsidR="008F083C" w:rsidRDefault="008F083C"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 xml:space="preserve">Scope of: </w:t>
            </w:r>
          </w:p>
          <w:p w14:paraId="2256CEE8" w14:textId="77777777" w:rsidR="008F083C" w:rsidRDefault="00EC3930" w:rsidP="009D2D60">
            <w:pPr>
              <w:pStyle w:val="NormalWeb"/>
              <w:spacing w:before="0" w:beforeAutospacing="0" w:after="0" w:afterAutospacing="0"/>
              <w:rPr>
                <w:rFonts w:ascii="Verdana" w:hAnsi="Verdana" w:cs="Arial"/>
                <w:sz w:val="18"/>
                <w:szCs w:val="20"/>
              </w:rPr>
            </w:pPr>
            <w:r w:rsidRPr="00E72BE9">
              <w:rPr>
                <w:rFonts w:ascii="Verdana" w:eastAsia="Verdana" w:hAnsi="Verdana" w:cs="Arial"/>
                <w:sz w:val="18"/>
                <w:szCs w:val="20"/>
                <w:lang w:val="en-GB" w:bidi="en-GB"/>
              </w:rPr>
              <w:t>4.1 Project planning management, cf. ABR 18, Section 23</w:t>
            </w:r>
          </w:p>
          <w:p w14:paraId="2256CEE9" w14:textId="77777777" w:rsidR="008F083C" w:rsidRDefault="008F083C"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 xml:space="preserve">      Construction management</w:t>
            </w:r>
          </w:p>
          <w:p w14:paraId="2256CEEA" w14:textId="77777777" w:rsidR="008F083C" w:rsidRDefault="008F083C"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 xml:space="preserve">      Technical supervision</w:t>
            </w:r>
          </w:p>
          <w:p w14:paraId="2256CEEB" w14:textId="77777777" w:rsidR="00DD4C44" w:rsidRDefault="00DD4C44" w:rsidP="009D2D60">
            <w:pPr>
              <w:pStyle w:val="NormalWeb"/>
              <w:spacing w:before="0" w:beforeAutospacing="0" w:after="0" w:afterAutospacing="0"/>
              <w:rPr>
                <w:rFonts w:ascii="Verdana" w:hAnsi="Verdana" w:cs="Arial"/>
                <w:sz w:val="18"/>
                <w:szCs w:val="20"/>
              </w:rPr>
            </w:pPr>
            <w:r w:rsidRPr="00E72BE9">
              <w:rPr>
                <w:rFonts w:ascii="Verdana" w:eastAsia="Verdana" w:hAnsi="Verdana" w:cs="Arial"/>
                <w:sz w:val="18"/>
                <w:szCs w:val="20"/>
                <w:lang w:val="en-GB" w:bidi="en-GB"/>
              </w:rPr>
              <w:t>4.2 Organisational form of construction</w:t>
            </w:r>
          </w:p>
          <w:p w14:paraId="2256CEEC" w14:textId="77777777" w:rsidR="00EC3930" w:rsidRDefault="00DD4C44" w:rsidP="009D2D60">
            <w:pPr>
              <w:pStyle w:val="NormalWeb"/>
              <w:spacing w:before="0" w:beforeAutospacing="0" w:after="0" w:afterAutospacing="0"/>
              <w:rPr>
                <w:rFonts w:ascii="Verdana" w:hAnsi="Verdana" w:cs="Arial"/>
                <w:sz w:val="18"/>
                <w:szCs w:val="20"/>
              </w:rPr>
            </w:pPr>
            <w:r w:rsidRPr="00E72BE9">
              <w:rPr>
                <w:rFonts w:ascii="Verdana" w:eastAsia="Verdana" w:hAnsi="Verdana" w:cs="Arial"/>
                <w:sz w:val="18"/>
                <w:szCs w:val="20"/>
                <w:lang w:val="en-GB" w:bidi="en-GB"/>
              </w:rPr>
              <w:t>4.3 Functional tender</w:t>
            </w:r>
          </w:p>
          <w:p w14:paraId="2256CEED" w14:textId="77777777" w:rsidR="00EC3930" w:rsidRDefault="00EC3930" w:rsidP="009D2D60">
            <w:pPr>
              <w:pStyle w:val="NormalWeb"/>
              <w:spacing w:before="0" w:beforeAutospacing="0" w:after="0" w:afterAutospacing="0"/>
              <w:rPr>
                <w:rFonts w:ascii="Verdana" w:hAnsi="Verdana" w:cs="Arial"/>
                <w:sz w:val="18"/>
                <w:szCs w:val="20"/>
              </w:rPr>
            </w:pPr>
            <w:r w:rsidRPr="00E72BE9">
              <w:rPr>
                <w:rFonts w:ascii="Verdana" w:eastAsia="Verdana" w:hAnsi="Verdana" w:cs="Arial"/>
                <w:sz w:val="18"/>
                <w:szCs w:val="20"/>
                <w:lang w:val="en-GB" w:bidi="en-GB"/>
              </w:rPr>
              <w:t>4.4 Options</w:t>
            </w:r>
          </w:p>
          <w:p w14:paraId="2256CEEE"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10"/>
                  <w:enabled/>
                  <w:calcOnExit w:val="0"/>
                  <w:textInput/>
                </w:ffData>
              </w:fldChar>
            </w:r>
            <w:bookmarkStart w:id="8" w:name="Tekst10"/>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8"/>
          </w:p>
          <w:p w14:paraId="2256CEEF" w14:textId="77777777" w:rsidR="00600397" w:rsidRPr="00366AA0" w:rsidRDefault="00600397" w:rsidP="5BD6DF36">
            <w:pPr>
              <w:pStyle w:val="NormalWeb"/>
              <w:spacing w:before="0" w:beforeAutospacing="0" w:after="0" w:afterAutospacing="0"/>
              <w:rPr>
                <w:rFonts w:ascii="Verdana,Verdana,Arial" w:eastAsia="Verdana,Verdana,Arial" w:hAnsi="Verdana,Verdana,Arial" w:cs="Verdana,Verdana,Arial"/>
                <w:sz w:val="18"/>
                <w:szCs w:val="18"/>
              </w:rPr>
            </w:pPr>
          </w:p>
        </w:tc>
      </w:tr>
      <w:tr w:rsidR="007A29CC" w:rsidRPr="007A29CC" w14:paraId="2256CEF5" w14:textId="77777777" w:rsidTr="12F7AE45">
        <w:trPr>
          <w:gridAfter w:val="2"/>
          <w:wAfter w:w="334" w:type="dxa"/>
          <w:cantSplit/>
        </w:trPr>
        <w:tc>
          <w:tcPr>
            <w:tcW w:w="461" w:type="dxa"/>
          </w:tcPr>
          <w:p w14:paraId="2256CEF1" w14:textId="77777777" w:rsidR="007A29CC" w:rsidRPr="007A29CC" w:rsidRDefault="007A29CC" w:rsidP="009D2D60">
            <w:pPr>
              <w:pStyle w:val="NormalWeb"/>
              <w:spacing w:before="0" w:beforeAutospacing="0" w:after="0" w:afterAutospacing="0"/>
              <w:rPr>
                <w:rFonts w:ascii="Verdana" w:hAnsi="Verdana" w:cs="Arial"/>
                <w:b/>
                <w:sz w:val="18"/>
                <w:szCs w:val="20"/>
              </w:rPr>
            </w:pPr>
          </w:p>
          <w:p w14:paraId="2256CEF2"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5.</w:t>
            </w:r>
          </w:p>
        </w:tc>
        <w:tc>
          <w:tcPr>
            <w:tcW w:w="8983" w:type="dxa"/>
            <w:gridSpan w:val="3"/>
          </w:tcPr>
          <w:p w14:paraId="2256CEF3" w14:textId="77777777" w:rsidR="007A29CC" w:rsidRPr="007A29CC" w:rsidRDefault="007A29CC" w:rsidP="009D2D60">
            <w:pPr>
              <w:pStyle w:val="NormalWeb"/>
              <w:spacing w:before="0" w:beforeAutospacing="0" w:after="0" w:afterAutospacing="0"/>
              <w:rPr>
                <w:rFonts w:ascii="Verdana" w:hAnsi="Verdana" w:cs="Arial"/>
                <w:b/>
                <w:sz w:val="18"/>
                <w:szCs w:val="20"/>
              </w:rPr>
            </w:pPr>
          </w:p>
          <w:p w14:paraId="2256CEF4" w14:textId="77777777" w:rsidR="007A29CC" w:rsidRPr="007A29CC" w:rsidRDefault="00DD4C44" w:rsidP="12F7AE45">
            <w:pPr>
              <w:pStyle w:val="NormalWeb"/>
              <w:spacing w:before="0" w:beforeAutospacing="0" w:after="0" w:afterAutospacing="0"/>
              <w:rPr>
                <w:rFonts w:ascii="Verdana" w:hAnsi="Verdana" w:cs="Arial"/>
                <w:b/>
                <w:bCs/>
                <w:sz w:val="18"/>
                <w:szCs w:val="18"/>
              </w:rPr>
            </w:pPr>
            <w:r>
              <w:rPr>
                <w:rFonts w:ascii="Verdana" w:eastAsia="Verdana" w:hAnsi="Verdana" w:cs="Arial"/>
                <w:b/>
                <w:sz w:val="18"/>
                <w:szCs w:val="18"/>
                <w:lang w:val="en-GB" w:bidi="en-GB"/>
              </w:rPr>
              <w:t>The Client’s services</w:t>
            </w:r>
          </w:p>
        </w:tc>
      </w:tr>
      <w:tr w:rsidR="003D6DA1" w14:paraId="2256CEF9" w14:textId="77777777" w:rsidTr="12F7AE45">
        <w:trPr>
          <w:gridAfter w:val="2"/>
          <w:wAfter w:w="334" w:type="dxa"/>
          <w:cantSplit/>
        </w:trPr>
        <w:tc>
          <w:tcPr>
            <w:tcW w:w="461" w:type="dxa"/>
          </w:tcPr>
          <w:p w14:paraId="2256CEF6" w14:textId="77777777" w:rsidR="007A29CC" w:rsidRPr="007A29CC" w:rsidRDefault="007A29CC" w:rsidP="00176E67">
            <w:pPr>
              <w:pStyle w:val="NormalWeb"/>
              <w:spacing w:before="0" w:beforeAutospacing="0" w:after="0" w:afterAutospacing="0"/>
              <w:rPr>
                <w:rFonts w:ascii="Verdana" w:hAnsi="Verdana" w:cs="Arial"/>
                <w:b/>
                <w:sz w:val="18"/>
                <w:szCs w:val="20"/>
              </w:rPr>
            </w:pPr>
          </w:p>
        </w:tc>
        <w:tc>
          <w:tcPr>
            <w:tcW w:w="8983" w:type="dxa"/>
            <w:gridSpan w:val="3"/>
          </w:tcPr>
          <w:p w14:paraId="2256CEF7" w14:textId="77777777" w:rsidR="007A29CC" w:rsidRPr="007A29CC" w:rsidRDefault="007A29CC" w:rsidP="12F7AE45">
            <w:pPr>
              <w:pStyle w:val="NormalWeb"/>
              <w:spacing w:before="0" w:beforeAutospacing="0" w:after="0" w:afterAutospacing="0"/>
              <w:rPr>
                <w:rFonts w:ascii="Verdana" w:hAnsi="Verdana" w:cs="Arial"/>
                <w:b/>
                <w:bCs/>
                <w:sz w:val="18"/>
                <w:szCs w:val="18"/>
              </w:rPr>
            </w:pPr>
            <w:r w:rsidRPr="12F7AE45">
              <w:rPr>
                <w:lang w:val="en-GB" w:bidi="en-GB"/>
              </w:rPr>
              <w:fldChar w:fldCharType="begin">
                <w:ffData>
                  <w:name w:val="Tekst10"/>
                  <w:enabled/>
                  <w:calcOnExit w:val="0"/>
                  <w:textInput/>
                </w:ffData>
              </w:fldChar>
            </w:r>
            <w:r w:rsidRPr="007A29CC">
              <w:rPr>
                <w:rFonts w:ascii="Verdana" w:eastAsia="Verdana" w:hAnsi="Verdana" w:cs="Arial"/>
                <w:b/>
                <w:sz w:val="18"/>
                <w:szCs w:val="20"/>
                <w:lang w:val="en-GB" w:bidi="en-GB"/>
              </w:rPr>
              <w:instrText xml:space="preserve"> FORMTEXT </w:instrText>
            </w:r>
            <w:r w:rsidRPr="12F7AE45">
              <w:rPr>
                <w:rFonts w:ascii="Verdana" w:eastAsia="Verdana" w:hAnsi="Verdana" w:cs="Arial"/>
                <w:b/>
                <w:sz w:val="18"/>
                <w:szCs w:val="20"/>
                <w:lang w:val="en-GB" w:bidi="en-GB"/>
              </w:rPr>
            </w:r>
            <w:r w:rsidRPr="12F7AE45">
              <w:rPr>
                <w:rFonts w:ascii="Verdana" w:eastAsia="Verdana" w:hAnsi="Verdana" w:cs="Arial"/>
                <w:b/>
                <w:sz w:val="18"/>
                <w:szCs w:val="20"/>
                <w:lang w:val="en-GB" w:bidi="en-GB"/>
              </w:rPr>
              <w:fldChar w:fldCharType="separate"/>
            </w:r>
            <w:r w:rsidRPr="12F7AE45">
              <w:rPr>
                <w:rFonts w:ascii="Verdana" w:eastAsia="Verdana" w:hAnsi="Verdana" w:cs="Arial"/>
                <w:b/>
                <w:sz w:val="18"/>
                <w:szCs w:val="18"/>
                <w:lang w:val="en-GB" w:bidi="en-GB"/>
              </w:rPr>
              <w:t> </w:t>
            </w:r>
            <w:r w:rsidRPr="12F7AE45">
              <w:rPr>
                <w:rFonts w:ascii="Verdana" w:eastAsia="Verdana" w:hAnsi="Verdana" w:cs="Arial"/>
                <w:b/>
                <w:sz w:val="18"/>
                <w:szCs w:val="18"/>
                <w:lang w:val="en-GB" w:bidi="en-GB"/>
              </w:rPr>
              <w:t> </w:t>
            </w:r>
            <w:r w:rsidRPr="12F7AE45">
              <w:rPr>
                <w:rFonts w:ascii="Verdana" w:eastAsia="Verdana" w:hAnsi="Verdana" w:cs="Arial"/>
                <w:b/>
                <w:sz w:val="18"/>
                <w:szCs w:val="18"/>
                <w:lang w:val="en-GB" w:bidi="en-GB"/>
              </w:rPr>
              <w:t> </w:t>
            </w:r>
            <w:r w:rsidRPr="12F7AE45">
              <w:rPr>
                <w:rFonts w:ascii="Verdana" w:eastAsia="Verdana" w:hAnsi="Verdana" w:cs="Arial"/>
                <w:b/>
                <w:sz w:val="18"/>
                <w:szCs w:val="18"/>
                <w:lang w:val="en-GB" w:bidi="en-GB"/>
              </w:rPr>
              <w:t> </w:t>
            </w:r>
            <w:r w:rsidRPr="12F7AE45">
              <w:rPr>
                <w:rFonts w:ascii="Verdana" w:eastAsia="Verdana" w:hAnsi="Verdana" w:cs="Arial"/>
                <w:b/>
                <w:sz w:val="18"/>
                <w:szCs w:val="18"/>
                <w:lang w:val="en-GB" w:bidi="en-GB"/>
              </w:rPr>
              <w:t> </w:t>
            </w:r>
            <w:r w:rsidRPr="12F7AE45">
              <w:rPr>
                <w:lang w:val="en-GB" w:bidi="en-GB"/>
              </w:rPr>
              <w:fldChar w:fldCharType="end"/>
            </w:r>
          </w:p>
          <w:p w14:paraId="2256CEF8" w14:textId="77777777" w:rsidR="007A29CC" w:rsidRPr="007A29CC" w:rsidRDefault="007A29CC" w:rsidP="00176E67">
            <w:pPr>
              <w:pStyle w:val="NormalWeb"/>
              <w:spacing w:before="0" w:beforeAutospacing="0" w:after="0" w:afterAutospacing="0"/>
              <w:rPr>
                <w:rFonts w:ascii="Verdana" w:hAnsi="Verdana" w:cs="Arial"/>
                <w:b/>
                <w:sz w:val="18"/>
                <w:szCs w:val="20"/>
              </w:rPr>
            </w:pPr>
          </w:p>
        </w:tc>
      </w:tr>
      <w:tr w:rsidR="003D6DA1" w:rsidRPr="007A29CC" w14:paraId="2256CEFE" w14:textId="77777777" w:rsidTr="12F7AE45">
        <w:trPr>
          <w:gridAfter w:val="2"/>
          <w:wAfter w:w="334" w:type="dxa"/>
          <w:cantSplit/>
        </w:trPr>
        <w:tc>
          <w:tcPr>
            <w:tcW w:w="461" w:type="dxa"/>
          </w:tcPr>
          <w:p w14:paraId="2256CEFA" w14:textId="77777777" w:rsidR="007A29CC" w:rsidRPr="007A29CC" w:rsidRDefault="007A29CC" w:rsidP="00176E67">
            <w:pPr>
              <w:pStyle w:val="NormalWeb"/>
              <w:spacing w:before="0" w:beforeAutospacing="0" w:after="0" w:afterAutospacing="0"/>
              <w:rPr>
                <w:rFonts w:ascii="Verdana" w:hAnsi="Verdana" w:cs="Arial"/>
                <w:b/>
                <w:sz w:val="18"/>
                <w:szCs w:val="20"/>
              </w:rPr>
            </w:pPr>
          </w:p>
          <w:p w14:paraId="2256CEFB"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6.</w:t>
            </w:r>
          </w:p>
        </w:tc>
        <w:tc>
          <w:tcPr>
            <w:tcW w:w="8983" w:type="dxa"/>
            <w:gridSpan w:val="3"/>
          </w:tcPr>
          <w:p w14:paraId="2256CEFC" w14:textId="77777777" w:rsidR="007A29CC" w:rsidRPr="007A29CC" w:rsidRDefault="007A29CC" w:rsidP="00176E67">
            <w:pPr>
              <w:pStyle w:val="NormalWeb"/>
              <w:spacing w:before="0" w:beforeAutospacing="0" w:after="0" w:afterAutospacing="0"/>
              <w:rPr>
                <w:rFonts w:ascii="Verdana" w:hAnsi="Verdana" w:cs="Arial"/>
                <w:b/>
                <w:sz w:val="18"/>
                <w:szCs w:val="20"/>
              </w:rPr>
            </w:pPr>
          </w:p>
          <w:p w14:paraId="2256CEFD" w14:textId="77777777" w:rsidR="007A29CC"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 xml:space="preserve">Deadlines in accordance with the overall time schedule, cf. Annex... </w:t>
            </w:r>
          </w:p>
        </w:tc>
      </w:tr>
      <w:tr w:rsidR="009E782F" w:rsidRPr="009E782F" w14:paraId="2256CF0E" w14:textId="77777777" w:rsidTr="12F7AE45">
        <w:trPr>
          <w:gridAfter w:val="1"/>
          <w:wAfter w:w="319" w:type="dxa"/>
        </w:trPr>
        <w:tc>
          <w:tcPr>
            <w:tcW w:w="461" w:type="dxa"/>
          </w:tcPr>
          <w:p w14:paraId="2256CEFF" w14:textId="77777777" w:rsidR="007A29CC" w:rsidRPr="009E782F" w:rsidRDefault="007A29CC" w:rsidP="00176E67">
            <w:pPr>
              <w:pStyle w:val="NormalWeb"/>
              <w:spacing w:before="0" w:beforeAutospacing="0" w:after="0" w:afterAutospacing="0"/>
              <w:rPr>
                <w:rFonts w:ascii="Verdana" w:hAnsi="Verdana" w:cs="Arial"/>
                <w:sz w:val="18"/>
                <w:szCs w:val="20"/>
              </w:rPr>
            </w:pPr>
          </w:p>
        </w:tc>
        <w:tc>
          <w:tcPr>
            <w:tcW w:w="713" w:type="dxa"/>
            <w:gridSpan w:val="2"/>
          </w:tcPr>
          <w:p w14:paraId="2256CF00" w14:textId="77777777" w:rsidR="007A29CC" w:rsidRPr="009E782F"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6.1</w:t>
            </w:r>
          </w:p>
          <w:p w14:paraId="2256CF01" w14:textId="77777777" w:rsidR="007A29CC"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lang w:val="en-GB" w:bidi="en-GB"/>
              </w:rPr>
              <w:t>6.1.2</w:t>
            </w:r>
          </w:p>
          <w:p w14:paraId="2256CF02"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lang w:val="en-GB" w:bidi="en-GB"/>
              </w:rPr>
              <w:t>6.1.3</w:t>
            </w:r>
          </w:p>
          <w:p w14:paraId="2256CF03"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lang w:val="en-GB" w:bidi="en-GB"/>
              </w:rPr>
              <w:t>6.1.4</w:t>
            </w:r>
          </w:p>
          <w:p w14:paraId="2256CF04" w14:textId="77777777" w:rsid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lang w:val="en-GB" w:bidi="en-GB"/>
              </w:rPr>
              <w:t>6.1.5</w:t>
            </w:r>
          </w:p>
          <w:p w14:paraId="2256CF05" w14:textId="77777777" w:rsidR="009E782F" w:rsidRPr="009E782F" w:rsidRDefault="12F7AE45" w:rsidP="12F7AE45">
            <w:pPr>
              <w:pStyle w:val="NormalWeb"/>
              <w:spacing w:before="0" w:beforeAutospacing="0" w:after="0" w:afterAutospacing="0"/>
              <w:rPr>
                <w:rFonts w:ascii="Verdana" w:eastAsia="Verdana,Arial" w:hAnsi="Verdana" w:cs="Verdana,Arial"/>
                <w:sz w:val="18"/>
                <w:szCs w:val="18"/>
              </w:rPr>
            </w:pPr>
            <w:r w:rsidRPr="12F7AE45">
              <w:rPr>
                <w:rFonts w:ascii="Verdana" w:eastAsia="Verdana,Arial" w:hAnsi="Verdana" w:cs="Verdana,Arial"/>
                <w:sz w:val="18"/>
                <w:szCs w:val="18"/>
                <w:lang w:val="en-GB" w:bidi="en-GB"/>
              </w:rPr>
              <w:t>6.1.6</w:t>
            </w:r>
          </w:p>
        </w:tc>
        <w:tc>
          <w:tcPr>
            <w:tcW w:w="8285" w:type="dxa"/>
            <w:gridSpan w:val="2"/>
          </w:tcPr>
          <w:p w14:paraId="2256CF06" w14:textId="77777777" w:rsidR="007A29CC"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 xml:space="preserve">Overall time schedule </w:t>
            </w:r>
          </w:p>
          <w:p w14:paraId="2256CF07" w14:textId="77777777" w:rsidR="007A29CC"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Deadline for the services plan</w:t>
            </w:r>
          </w:p>
          <w:p w14:paraId="2256CF08" w14:textId="444D4A83" w:rsidR="007A29CC"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Deadline for the Client’s decisions and delivery of materials</w:t>
            </w:r>
          </w:p>
          <w:p w14:paraId="2256CF09" w14:textId="247DA0A1"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Deadline for the Client obtaining regulatory approvals</w:t>
            </w:r>
          </w:p>
          <w:p w14:paraId="2256CF0A"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Any other interim deadlines</w:t>
            </w:r>
          </w:p>
          <w:p w14:paraId="2256CF0B" w14:textId="77777777" w:rsidR="007A29CC"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Expected end time for the completion of the construction</w:t>
            </w:r>
          </w:p>
          <w:p w14:paraId="2256CF0C" w14:textId="77777777" w:rsidR="009E782F" w:rsidRDefault="009E782F" w:rsidP="00E92B42">
            <w:pPr>
              <w:pStyle w:val="NormalWeb"/>
              <w:spacing w:before="0" w:beforeAutospacing="0" w:after="0" w:afterAutospacing="0"/>
              <w:ind w:left="-40"/>
              <w:rPr>
                <w:rFonts w:ascii="Verdana" w:hAnsi="Verdana" w:cs="Arial"/>
                <w:sz w:val="18"/>
                <w:szCs w:val="20"/>
              </w:rPr>
            </w:pPr>
            <w:r>
              <w:rPr>
                <w:rFonts w:ascii="Verdana" w:eastAsia="Verdana" w:hAnsi="Verdana" w:cs="Arial"/>
                <w:sz w:val="18"/>
                <w:szCs w:val="20"/>
                <w:lang w:val="en-GB" w:bidi="en-GB"/>
              </w:rPr>
              <w:fldChar w:fldCharType="begin">
                <w:ffData>
                  <w:name w:val="Tekst9"/>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p w14:paraId="2256CF0D"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13" w14:textId="77777777" w:rsidTr="12F7AE45">
        <w:trPr>
          <w:gridAfter w:val="2"/>
          <w:wAfter w:w="334" w:type="dxa"/>
          <w:cantSplit/>
        </w:trPr>
        <w:tc>
          <w:tcPr>
            <w:tcW w:w="461" w:type="dxa"/>
          </w:tcPr>
          <w:p w14:paraId="2256CF0F" w14:textId="77777777" w:rsidR="009E782F" w:rsidRPr="007A29CC" w:rsidRDefault="009E782F" w:rsidP="00176E67">
            <w:pPr>
              <w:pStyle w:val="NormalWeb"/>
              <w:spacing w:before="0" w:beforeAutospacing="0" w:after="0" w:afterAutospacing="0"/>
              <w:rPr>
                <w:rFonts w:ascii="Verdana" w:hAnsi="Verdana" w:cs="Arial"/>
                <w:b/>
                <w:sz w:val="18"/>
                <w:szCs w:val="20"/>
              </w:rPr>
            </w:pPr>
          </w:p>
          <w:p w14:paraId="2256CF10"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7.</w:t>
            </w:r>
          </w:p>
        </w:tc>
        <w:tc>
          <w:tcPr>
            <w:tcW w:w="8983" w:type="dxa"/>
            <w:gridSpan w:val="3"/>
          </w:tcPr>
          <w:p w14:paraId="2256CF11" w14:textId="77777777" w:rsidR="009E782F" w:rsidRPr="007A29CC" w:rsidRDefault="009E782F" w:rsidP="00E92B42">
            <w:pPr>
              <w:pStyle w:val="NormalWeb"/>
              <w:spacing w:before="0" w:beforeAutospacing="0" w:after="0" w:afterAutospacing="0"/>
              <w:ind w:left="-40"/>
              <w:rPr>
                <w:rFonts w:ascii="Verdana" w:hAnsi="Verdana" w:cs="Arial"/>
                <w:b/>
                <w:sz w:val="18"/>
                <w:szCs w:val="20"/>
              </w:rPr>
            </w:pPr>
          </w:p>
          <w:p w14:paraId="2256CF12" w14:textId="77777777" w:rsidR="009E782F" w:rsidRPr="007A29CC" w:rsidRDefault="12F7AE45" w:rsidP="12F7AE45">
            <w:pPr>
              <w:pStyle w:val="NormalWeb"/>
              <w:spacing w:before="0" w:beforeAutospacing="0" w:after="0" w:afterAutospacing="0"/>
              <w:ind w:left="-40"/>
              <w:rPr>
                <w:rFonts w:ascii="Verdana" w:hAnsi="Verdana" w:cs="Arial"/>
                <w:b/>
                <w:bCs/>
                <w:sz w:val="18"/>
                <w:szCs w:val="18"/>
              </w:rPr>
            </w:pPr>
            <w:r w:rsidRPr="12F7AE45">
              <w:rPr>
                <w:rFonts w:ascii="Verdana" w:eastAsia="Verdana" w:hAnsi="Verdana" w:cs="Arial"/>
                <w:b/>
                <w:sz w:val="18"/>
                <w:szCs w:val="18"/>
                <w:lang w:val="en-GB" w:bidi="en-GB"/>
              </w:rPr>
              <w:t>Finances</w:t>
            </w:r>
          </w:p>
        </w:tc>
      </w:tr>
      <w:tr w:rsidR="009E782F" w:rsidRPr="009E782F" w14:paraId="2256CF20" w14:textId="77777777" w:rsidTr="12F7AE45">
        <w:trPr>
          <w:gridAfter w:val="1"/>
          <w:wAfter w:w="319" w:type="dxa"/>
        </w:trPr>
        <w:tc>
          <w:tcPr>
            <w:tcW w:w="461" w:type="dxa"/>
          </w:tcPr>
          <w:p w14:paraId="2256CF14"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15" w14:textId="77777777" w:rsidR="009E782F" w:rsidRPr="009E782F" w:rsidRDefault="12F7AE45" w:rsidP="12F7AE45">
            <w:pPr>
              <w:pStyle w:val="NormalWeb"/>
              <w:spacing w:before="0" w:beforeAutospacing="0" w:after="0" w:afterAutospacing="0"/>
              <w:ind w:left="160" w:hanging="160"/>
              <w:rPr>
                <w:rFonts w:ascii="Verdana" w:eastAsia="Verdana" w:hAnsi="Verdana" w:cs="Verdana"/>
                <w:sz w:val="18"/>
                <w:szCs w:val="18"/>
              </w:rPr>
            </w:pPr>
            <w:r w:rsidRPr="12F7AE45">
              <w:rPr>
                <w:rFonts w:ascii="Verdana" w:eastAsia="Verdana" w:hAnsi="Verdana" w:cs="Verdana"/>
                <w:sz w:val="18"/>
                <w:szCs w:val="18"/>
                <w:lang w:val="en-GB" w:bidi="en-GB"/>
              </w:rPr>
              <w:t>7.1</w:t>
            </w:r>
          </w:p>
          <w:p w14:paraId="2256CF16" w14:textId="77777777" w:rsid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lang w:val="en-GB" w:bidi="en-GB"/>
              </w:rPr>
              <w:t>7.2</w:t>
            </w:r>
          </w:p>
          <w:p w14:paraId="2256CF17" w14:textId="77777777" w:rsid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lang w:val="en-GB" w:bidi="en-GB"/>
              </w:rPr>
              <w:t>7.3</w:t>
            </w:r>
          </w:p>
          <w:p w14:paraId="2256CF18" w14:textId="77777777" w:rsidR="009E782F" w:rsidRPr="009E782F" w:rsidRDefault="009E782F" w:rsidP="008F083C">
            <w:pPr>
              <w:pStyle w:val="NormalWeb"/>
              <w:spacing w:before="0" w:beforeAutospacing="0" w:after="0" w:afterAutospacing="0"/>
              <w:rPr>
                <w:rFonts w:ascii="Verdana" w:eastAsia="Verdana,Arial" w:hAnsi="Verdana" w:cs="Verdana,Arial"/>
                <w:sz w:val="18"/>
                <w:szCs w:val="18"/>
              </w:rPr>
            </w:pPr>
          </w:p>
        </w:tc>
        <w:tc>
          <w:tcPr>
            <w:tcW w:w="8285" w:type="dxa"/>
            <w:gridSpan w:val="2"/>
          </w:tcPr>
          <w:p w14:paraId="2256CF19"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 xml:space="preserve">The financial framework of the Project, cf. ABR 18, Section 4 (2) (c) </w:t>
            </w:r>
          </w:p>
          <w:p w14:paraId="2256CF1A" w14:textId="77777777" w:rsidR="0022727F" w:rsidRPr="009E782F" w:rsidRDefault="0022727F" w:rsidP="12F7AE45">
            <w:pPr>
              <w:pStyle w:val="NormalWeb"/>
              <w:spacing w:before="0" w:beforeAutospacing="0" w:after="0" w:afterAutospacing="0"/>
              <w:ind w:left="-40"/>
              <w:rPr>
                <w:rFonts w:ascii="Verdana" w:eastAsia="Verdana" w:hAnsi="Verdana" w:cs="Verdana"/>
                <w:sz w:val="18"/>
                <w:szCs w:val="18"/>
              </w:rPr>
            </w:pPr>
            <w:r w:rsidRPr="0022727F">
              <w:rPr>
                <w:rFonts w:ascii="Verdana" w:eastAsia="Verdana" w:hAnsi="Verdana" w:cs="Verdana"/>
                <w:sz w:val="18"/>
                <w:szCs w:val="18"/>
                <w:lang w:val="en-GB" w:bidi="en-GB"/>
              </w:rPr>
              <w:t>The overall financial framework of the Project, cf. ABR 18, Section 4 (4) (a)</w:t>
            </w:r>
          </w:p>
          <w:p w14:paraId="2256CF1B"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 xml:space="preserve">Budgetary assumptions and risks for both the financial framework and </w:t>
            </w:r>
          </w:p>
          <w:p w14:paraId="2256CF1C" w14:textId="77777777" w:rsid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the overall financial framework</w:t>
            </w:r>
          </w:p>
          <w:p w14:paraId="2256CF1D" w14:textId="77777777" w:rsidR="009E782F" w:rsidRDefault="009E782F" w:rsidP="00E92B42">
            <w:pPr>
              <w:pStyle w:val="NormalWeb"/>
              <w:spacing w:before="0" w:beforeAutospacing="0" w:after="0" w:afterAutospacing="0"/>
              <w:ind w:left="-40"/>
              <w:rPr>
                <w:rFonts w:ascii="Verdana" w:hAnsi="Verdana" w:cs="Arial"/>
                <w:sz w:val="18"/>
                <w:szCs w:val="20"/>
              </w:rPr>
            </w:pPr>
            <w:r>
              <w:rPr>
                <w:rFonts w:ascii="Verdana" w:eastAsia="Verdana" w:hAnsi="Verdana" w:cs="Arial"/>
                <w:sz w:val="18"/>
                <w:szCs w:val="20"/>
                <w:lang w:val="en-GB" w:bidi="en-GB"/>
              </w:rPr>
              <w:fldChar w:fldCharType="begin">
                <w:ffData>
                  <w:name w:val="Tekst9"/>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p w14:paraId="2256CF1E" w14:textId="77777777" w:rsidR="009E782F" w:rsidRDefault="009E782F" w:rsidP="00E92B42">
            <w:pPr>
              <w:pStyle w:val="NormalWeb"/>
              <w:spacing w:before="0" w:beforeAutospacing="0" w:after="0" w:afterAutospacing="0"/>
              <w:ind w:left="-40"/>
              <w:rPr>
                <w:rFonts w:ascii="Verdana" w:eastAsia="Verdana" w:hAnsi="Verdana" w:cs="Verdana"/>
                <w:sz w:val="18"/>
                <w:szCs w:val="18"/>
              </w:rPr>
            </w:pPr>
          </w:p>
          <w:p w14:paraId="2256CF1F"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23" w14:textId="77777777" w:rsidTr="12F7AE45">
        <w:trPr>
          <w:gridAfter w:val="2"/>
          <w:wAfter w:w="334" w:type="dxa"/>
          <w:cantSplit/>
        </w:trPr>
        <w:tc>
          <w:tcPr>
            <w:tcW w:w="461" w:type="dxa"/>
          </w:tcPr>
          <w:p w14:paraId="2256CF21"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8.</w:t>
            </w:r>
          </w:p>
        </w:tc>
        <w:tc>
          <w:tcPr>
            <w:tcW w:w="8983" w:type="dxa"/>
            <w:gridSpan w:val="3"/>
          </w:tcPr>
          <w:p w14:paraId="2256CF22" w14:textId="77777777" w:rsidR="009E782F" w:rsidRPr="007A29CC" w:rsidRDefault="12F7AE45" w:rsidP="12F7AE45">
            <w:pPr>
              <w:pStyle w:val="NormalWeb"/>
              <w:spacing w:before="0" w:beforeAutospacing="0" w:after="0" w:afterAutospacing="0"/>
              <w:ind w:left="-40"/>
              <w:rPr>
                <w:rFonts w:ascii="Verdana" w:hAnsi="Verdana" w:cs="Arial"/>
                <w:b/>
                <w:bCs/>
                <w:sz w:val="18"/>
                <w:szCs w:val="18"/>
              </w:rPr>
            </w:pPr>
            <w:r w:rsidRPr="12F7AE45">
              <w:rPr>
                <w:rFonts w:ascii="Verdana" w:eastAsia="Verdana" w:hAnsi="Verdana" w:cs="Arial"/>
                <w:b/>
                <w:sz w:val="18"/>
                <w:szCs w:val="18"/>
                <w:lang w:val="en-GB" w:bidi="en-GB"/>
              </w:rPr>
              <w:t>Fee</w:t>
            </w:r>
          </w:p>
        </w:tc>
      </w:tr>
      <w:tr w:rsidR="009E782F" w:rsidRPr="009E782F" w14:paraId="2256CF2C" w14:textId="77777777" w:rsidTr="12F7AE45">
        <w:trPr>
          <w:gridAfter w:val="1"/>
          <w:wAfter w:w="319" w:type="dxa"/>
        </w:trPr>
        <w:tc>
          <w:tcPr>
            <w:tcW w:w="461" w:type="dxa"/>
          </w:tcPr>
          <w:p w14:paraId="2256CF24"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25" w14:textId="77777777" w:rsidR="009E782F" w:rsidRPr="009E782F" w:rsidRDefault="12F7AE45" w:rsidP="12F7AE45">
            <w:pPr>
              <w:pStyle w:val="NormalWeb"/>
              <w:spacing w:before="0" w:beforeAutospacing="0" w:after="0" w:afterAutospacing="0"/>
              <w:ind w:left="160" w:hanging="160"/>
              <w:rPr>
                <w:rFonts w:ascii="Verdana" w:eastAsia="Verdana" w:hAnsi="Verdana" w:cs="Verdana"/>
                <w:sz w:val="18"/>
                <w:szCs w:val="18"/>
              </w:rPr>
            </w:pPr>
            <w:r w:rsidRPr="12F7AE45">
              <w:rPr>
                <w:rFonts w:ascii="Verdana" w:eastAsia="Verdana" w:hAnsi="Verdana" w:cs="Verdana"/>
                <w:sz w:val="18"/>
                <w:szCs w:val="18"/>
                <w:lang w:val="en-GB" w:bidi="en-GB"/>
              </w:rPr>
              <w:t>8.1</w:t>
            </w:r>
          </w:p>
          <w:p w14:paraId="2256CF26" w14:textId="77777777" w:rsidR="009E782F" w:rsidRPr="009E782F" w:rsidRDefault="12F7AE45" w:rsidP="12F7AE45">
            <w:pPr>
              <w:pStyle w:val="NormalWeb"/>
              <w:spacing w:before="0" w:beforeAutospacing="0" w:after="0" w:afterAutospacing="0"/>
              <w:ind w:left="160" w:hanging="160"/>
              <w:rPr>
                <w:rFonts w:ascii="Verdana" w:eastAsia="Verdana,Arial" w:hAnsi="Verdana" w:cs="Verdana,Arial"/>
                <w:sz w:val="18"/>
                <w:szCs w:val="18"/>
              </w:rPr>
            </w:pPr>
            <w:r w:rsidRPr="12F7AE45">
              <w:rPr>
                <w:rFonts w:ascii="Verdana" w:eastAsia="Verdana,Arial" w:hAnsi="Verdana" w:cs="Verdana,Arial"/>
                <w:sz w:val="18"/>
                <w:szCs w:val="18"/>
                <w:lang w:val="en-GB" w:bidi="en-GB"/>
              </w:rPr>
              <w:t>8.2</w:t>
            </w:r>
          </w:p>
        </w:tc>
        <w:tc>
          <w:tcPr>
            <w:tcW w:w="8285" w:type="dxa"/>
            <w:gridSpan w:val="2"/>
          </w:tcPr>
          <w:p w14:paraId="2256CF27"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Type of fee and rates</w:t>
            </w:r>
          </w:p>
          <w:p w14:paraId="2256CF28" w14:textId="77777777" w:rsidR="009E782F" w:rsidRPr="009E782F" w:rsidRDefault="12F7AE45" w:rsidP="12F7AE45">
            <w:pPr>
              <w:pStyle w:val="NormalWeb"/>
              <w:spacing w:before="0" w:beforeAutospacing="0" w:after="0" w:afterAutospacing="0"/>
              <w:ind w:left="-40"/>
              <w:rPr>
                <w:rFonts w:ascii="Verdana" w:eastAsia="Verdana" w:hAnsi="Verdana" w:cs="Verdana"/>
                <w:sz w:val="18"/>
                <w:szCs w:val="18"/>
              </w:rPr>
            </w:pPr>
            <w:r w:rsidRPr="12F7AE45">
              <w:rPr>
                <w:rFonts w:ascii="Verdana" w:eastAsia="Verdana" w:hAnsi="Verdana" w:cs="Verdana"/>
                <w:sz w:val="18"/>
                <w:szCs w:val="18"/>
                <w:lang w:val="en-GB" w:bidi="en-GB"/>
              </w:rPr>
              <w:t xml:space="preserve">Index </w:t>
            </w:r>
          </w:p>
          <w:p w14:paraId="2256CF29" w14:textId="40BB41C8" w:rsidR="009E782F" w:rsidRDefault="00A721C9" w:rsidP="00E92B42">
            <w:pPr>
              <w:pStyle w:val="NormalWeb"/>
              <w:spacing w:before="0" w:beforeAutospacing="0" w:after="0" w:afterAutospacing="0"/>
              <w:ind w:left="-40"/>
              <w:rPr>
                <w:rFonts w:ascii="Verdana" w:eastAsia="Verdana" w:hAnsi="Verdana" w:cs="Arial"/>
                <w:sz w:val="18"/>
                <w:szCs w:val="20"/>
                <w:lang w:val="en-GB" w:bidi="en-GB"/>
              </w:rPr>
            </w:pPr>
            <w:r>
              <w:rPr>
                <w:rFonts w:ascii="Verdana" w:eastAsia="Verdana" w:hAnsi="Verdana" w:cs="Arial"/>
                <w:sz w:val="18"/>
                <w:szCs w:val="20"/>
                <w:lang w:val="en-GB" w:bidi="en-GB"/>
              </w:rPr>
              <w:t>The Consultant’s hourly rates or fixed fee are indexed, cf. ABR 18, Section 33, in accordance with Statistics Denmark’s index of average</w:t>
            </w:r>
            <w:r w:rsidR="00386ACE">
              <w:rPr>
                <w:rFonts w:ascii="Verdana" w:eastAsia="Verdana" w:hAnsi="Verdana" w:cs="Arial"/>
                <w:sz w:val="18"/>
                <w:szCs w:val="20"/>
                <w:lang w:val="en-GB" w:bidi="en-GB"/>
              </w:rPr>
              <w:t xml:space="preserve"> earnings, SBLON1, </w:t>
            </w:r>
            <w:r>
              <w:rPr>
                <w:rFonts w:ascii="Verdana" w:eastAsia="Verdana" w:hAnsi="Verdana" w:cs="Arial"/>
                <w:sz w:val="18"/>
                <w:szCs w:val="20"/>
                <w:lang w:val="en-GB" w:bidi="en-GB"/>
              </w:rPr>
              <w:t>with</w:t>
            </w:r>
            <w:r>
              <w:rPr>
                <w:lang w:val="en-GB" w:bidi="en-GB"/>
              </w:rPr>
              <w:t xml:space="preserve"> </w:t>
            </w:r>
            <w:r w:rsidRPr="00A721C9">
              <w:rPr>
                <w:rFonts w:ascii="Verdana" w:eastAsia="Verdana" w:hAnsi="Verdana" w:cs="Arial"/>
                <w:sz w:val="18"/>
                <w:szCs w:val="20"/>
                <w:lang w:val="en-GB" w:bidi="en-GB"/>
              </w:rPr>
              <w:t xml:space="preserve">MA Consultancy </w:t>
            </w:r>
            <w:r w:rsidR="00386ACE" w:rsidRPr="00A721C9">
              <w:rPr>
                <w:rFonts w:ascii="Verdana" w:eastAsia="Verdana" w:hAnsi="Verdana" w:cs="Arial"/>
                <w:sz w:val="18"/>
                <w:szCs w:val="20"/>
                <w:lang w:val="en-GB" w:bidi="en-GB"/>
              </w:rPr>
              <w:t>etc.</w:t>
            </w:r>
            <w:r w:rsidR="00386ACE">
              <w:rPr>
                <w:rFonts w:ascii="Verdana" w:eastAsia="Verdana" w:hAnsi="Verdana" w:cs="Arial"/>
                <w:sz w:val="18"/>
                <w:szCs w:val="20"/>
                <w:lang w:val="en-GB" w:bidi="en-GB"/>
              </w:rPr>
              <w:t xml:space="preserve"> (Corporations and organizations)</w:t>
            </w:r>
            <w:r w:rsidRPr="00A721C9">
              <w:rPr>
                <w:rFonts w:ascii="Verdana" w:eastAsia="Verdana" w:hAnsi="Verdana" w:cs="Arial"/>
                <w:sz w:val="18"/>
                <w:szCs w:val="20"/>
                <w:lang w:val="en-GB" w:bidi="en-GB"/>
              </w:rPr>
              <w:t xml:space="preserve">. </w:t>
            </w:r>
          </w:p>
          <w:p w14:paraId="7CE55441" w14:textId="119B9BA6" w:rsidR="00386ACE" w:rsidRDefault="00386ACE" w:rsidP="00386ACE">
            <w:pPr>
              <w:pStyle w:val="NormalWeb"/>
              <w:spacing w:before="0" w:beforeAutospacing="0" w:after="0" w:afterAutospacing="0"/>
              <w:rPr>
                <w:rFonts w:ascii="Verdana" w:hAnsi="Verdana" w:cs="Arial"/>
                <w:sz w:val="18"/>
                <w:szCs w:val="20"/>
              </w:rPr>
            </w:pPr>
          </w:p>
          <w:p w14:paraId="2256CF2A" w14:textId="77777777" w:rsidR="009E782F" w:rsidRDefault="009E782F" w:rsidP="00E92B42">
            <w:pPr>
              <w:pStyle w:val="NormalWeb"/>
              <w:spacing w:before="0" w:beforeAutospacing="0" w:after="0" w:afterAutospacing="0"/>
              <w:ind w:left="-40"/>
              <w:rPr>
                <w:rFonts w:ascii="Verdana" w:eastAsia="Verdana" w:hAnsi="Verdana" w:cs="Verdana"/>
                <w:sz w:val="18"/>
                <w:szCs w:val="18"/>
              </w:rPr>
            </w:pPr>
          </w:p>
          <w:p w14:paraId="2256CF2B" w14:textId="77777777" w:rsidR="009E782F" w:rsidRPr="009E782F" w:rsidRDefault="009E782F" w:rsidP="00E92B42">
            <w:pPr>
              <w:pStyle w:val="NormalWeb"/>
              <w:spacing w:before="0" w:beforeAutospacing="0" w:after="0" w:afterAutospacing="0"/>
              <w:ind w:left="-40"/>
              <w:rPr>
                <w:rFonts w:ascii="Verdana" w:hAnsi="Verdana" w:cs="Arial"/>
                <w:sz w:val="18"/>
                <w:szCs w:val="20"/>
              </w:rPr>
            </w:pPr>
          </w:p>
        </w:tc>
      </w:tr>
      <w:tr w:rsidR="003D6DA1" w:rsidRPr="007A29CC" w14:paraId="2256CF30" w14:textId="77777777" w:rsidTr="12F7AE45">
        <w:trPr>
          <w:gridAfter w:val="2"/>
          <w:wAfter w:w="334" w:type="dxa"/>
          <w:cantSplit/>
        </w:trPr>
        <w:tc>
          <w:tcPr>
            <w:tcW w:w="461" w:type="dxa"/>
          </w:tcPr>
          <w:p w14:paraId="2256CF2D"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9.</w:t>
            </w:r>
          </w:p>
        </w:tc>
        <w:tc>
          <w:tcPr>
            <w:tcW w:w="8983" w:type="dxa"/>
            <w:gridSpan w:val="3"/>
          </w:tcPr>
          <w:p w14:paraId="2256CF2E"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Expenses</w:t>
            </w:r>
          </w:p>
          <w:p w14:paraId="2256CF2F" w14:textId="77777777" w:rsidR="009E782F"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sz w:val="18"/>
                <w:szCs w:val="18"/>
                <w:lang w:val="en-GB" w:bidi="en-GB"/>
              </w:rPr>
              <w:t>In accordance with ABR 18, Section 33 (7) cf. section 34 (4).</w:t>
            </w:r>
          </w:p>
        </w:tc>
      </w:tr>
      <w:tr w:rsidR="009E782F" w:rsidRPr="009E782F" w14:paraId="2256CF35" w14:textId="77777777" w:rsidTr="12F7AE45">
        <w:trPr>
          <w:gridAfter w:val="1"/>
          <w:wAfter w:w="319" w:type="dxa"/>
        </w:trPr>
        <w:tc>
          <w:tcPr>
            <w:tcW w:w="461" w:type="dxa"/>
          </w:tcPr>
          <w:p w14:paraId="2256CF31" w14:textId="77777777" w:rsidR="009E782F" w:rsidRPr="009E782F" w:rsidRDefault="009E782F" w:rsidP="00176E67">
            <w:pPr>
              <w:pStyle w:val="NormalWeb"/>
              <w:spacing w:before="0" w:beforeAutospacing="0" w:after="0" w:afterAutospacing="0"/>
              <w:rPr>
                <w:rFonts w:ascii="Verdana" w:hAnsi="Verdana" w:cs="Arial"/>
                <w:sz w:val="18"/>
                <w:szCs w:val="20"/>
              </w:rPr>
            </w:pPr>
          </w:p>
        </w:tc>
        <w:tc>
          <w:tcPr>
            <w:tcW w:w="713" w:type="dxa"/>
            <w:gridSpan w:val="2"/>
          </w:tcPr>
          <w:p w14:paraId="2256CF32" w14:textId="77777777" w:rsidR="009E782F"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2"/>
          </w:tcPr>
          <w:p w14:paraId="2256CF33" w14:textId="77777777" w:rsidR="009E782F" w:rsidRDefault="009E782F" w:rsidP="00176E67">
            <w:pPr>
              <w:pStyle w:val="NormalWeb"/>
              <w:spacing w:before="0" w:beforeAutospacing="0" w:after="0" w:afterAutospacing="0"/>
              <w:ind w:left="160"/>
              <w:rPr>
                <w:rFonts w:ascii="Verdana" w:eastAsia="Verdana" w:hAnsi="Verdana" w:cs="Verdana"/>
                <w:sz w:val="18"/>
                <w:szCs w:val="18"/>
              </w:rPr>
            </w:pPr>
          </w:p>
          <w:p w14:paraId="2256CF34" w14:textId="77777777" w:rsidR="009E782F" w:rsidRPr="009E782F" w:rsidRDefault="009E782F" w:rsidP="00176E67">
            <w:pPr>
              <w:pStyle w:val="NormalWeb"/>
              <w:spacing w:before="0" w:beforeAutospacing="0" w:after="0" w:afterAutospacing="0"/>
              <w:ind w:left="160"/>
              <w:rPr>
                <w:rFonts w:ascii="Verdana" w:hAnsi="Verdana" w:cs="Arial"/>
                <w:sz w:val="18"/>
                <w:szCs w:val="20"/>
              </w:rPr>
            </w:pPr>
          </w:p>
        </w:tc>
      </w:tr>
      <w:tr w:rsidR="00600397" w14:paraId="2256CF38" w14:textId="77777777" w:rsidTr="12F7AE45">
        <w:trPr>
          <w:cantSplit/>
        </w:trPr>
        <w:tc>
          <w:tcPr>
            <w:tcW w:w="1159" w:type="dxa"/>
            <w:gridSpan w:val="2"/>
          </w:tcPr>
          <w:p w14:paraId="2256CF36" w14:textId="77777777" w:rsidR="00600397" w:rsidRDefault="00600397" w:rsidP="003D6DA1">
            <w:pPr>
              <w:spacing w:before="60" w:after="60"/>
              <w:rPr>
                <w:rFonts w:ascii="Verdana,Arial" w:eastAsia="Verdana,Arial" w:hAnsi="Verdana,Arial" w:cs="Verdana,Arial"/>
                <w:b/>
                <w:bCs/>
                <w:sz w:val="18"/>
                <w:szCs w:val="18"/>
              </w:rPr>
            </w:pPr>
          </w:p>
        </w:tc>
        <w:tc>
          <w:tcPr>
            <w:tcW w:w="8619" w:type="dxa"/>
            <w:gridSpan w:val="4"/>
          </w:tcPr>
          <w:p w14:paraId="2256CF37" w14:textId="77777777" w:rsidR="00600397" w:rsidRDefault="00600397" w:rsidP="5BD6DF36">
            <w:pPr>
              <w:spacing w:before="60" w:after="60"/>
              <w:rPr>
                <w:rFonts w:ascii="Verdana,Arial" w:eastAsia="Verdana,Arial" w:hAnsi="Verdana,Arial" w:cs="Verdana,Arial"/>
                <w:b/>
                <w:bCs/>
                <w:sz w:val="18"/>
                <w:szCs w:val="18"/>
              </w:rPr>
            </w:pPr>
          </w:p>
        </w:tc>
      </w:tr>
      <w:tr w:rsidR="003D6DA1" w:rsidRPr="007A29CC" w14:paraId="2256CF40" w14:textId="77777777" w:rsidTr="12F7AE45">
        <w:trPr>
          <w:gridAfter w:val="2"/>
          <w:wAfter w:w="334" w:type="dxa"/>
          <w:cantSplit/>
        </w:trPr>
        <w:tc>
          <w:tcPr>
            <w:tcW w:w="461" w:type="dxa"/>
          </w:tcPr>
          <w:p w14:paraId="2256CF39"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10.</w:t>
            </w:r>
          </w:p>
        </w:tc>
        <w:tc>
          <w:tcPr>
            <w:tcW w:w="8983" w:type="dxa"/>
            <w:gridSpan w:val="3"/>
          </w:tcPr>
          <w:p w14:paraId="2256CF3A"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Payment of fee and expenses</w:t>
            </w:r>
          </w:p>
          <w:p w14:paraId="2256CF3B"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eastAsia="Verdana" w:hAnsi="Verdana" w:cs="Arial"/>
                <w:sz w:val="18"/>
                <w:szCs w:val="18"/>
                <w:lang w:val="en-GB" w:bidi="en-GB"/>
              </w:rPr>
              <w:t>In accordance with ABR 18, Section 34.</w:t>
            </w:r>
          </w:p>
          <w:p w14:paraId="2256CF3C"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eastAsia="Verdana" w:hAnsi="Verdana" w:cs="Arial"/>
                <w:sz w:val="18"/>
                <w:szCs w:val="18"/>
                <w:lang w:val="en-GB" w:bidi="en-GB"/>
              </w:rPr>
              <w:t>Choose:</w:t>
            </w:r>
          </w:p>
          <w:p w14:paraId="2256CF3D" w14:textId="77777777" w:rsidR="003D6DA1" w:rsidRDefault="008F083C" w:rsidP="12F7AE45">
            <w:pPr>
              <w:pStyle w:val="NormalWeb"/>
              <w:spacing w:before="0" w:beforeAutospacing="0" w:after="0" w:afterAutospacing="0"/>
              <w:rPr>
                <w:rFonts w:ascii="Verdana" w:hAnsi="Verdana" w:cs="Arial"/>
                <w:sz w:val="18"/>
                <w:szCs w:val="18"/>
              </w:rPr>
            </w:pPr>
            <w:r>
              <w:rPr>
                <w:rFonts w:ascii="Verdana" w:eastAsia="Verdana" w:hAnsi="Verdana" w:cs="Arial"/>
                <w:sz w:val="18"/>
                <w:szCs w:val="18"/>
                <w:lang w:val="en-GB" w:bidi="en-GB"/>
              </w:rPr>
              <w:t>Payment Plan</w:t>
            </w:r>
          </w:p>
          <w:p w14:paraId="2256CF3E" w14:textId="77777777" w:rsidR="003D6DA1" w:rsidRDefault="12F7AE45" w:rsidP="12F7AE45">
            <w:pPr>
              <w:pStyle w:val="NormalWeb"/>
              <w:spacing w:before="0" w:beforeAutospacing="0" w:after="0" w:afterAutospacing="0"/>
              <w:rPr>
                <w:rFonts w:ascii="Verdana" w:hAnsi="Verdana" w:cs="Arial"/>
                <w:sz w:val="18"/>
                <w:szCs w:val="18"/>
              </w:rPr>
            </w:pPr>
            <w:r w:rsidRPr="12F7AE45">
              <w:rPr>
                <w:rFonts w:ascii="Verdana" w:eastAsia="Verdana" w:hAnsi="Verdana" w:cs="Arial"/>
                <w:sz w:val="18"/>
                <w:szCs w:val="18"/>
                <w:lang w:val="en-GB" w:bidi="en-GB"/>
              </w:rPr>
              <w:t>A/C payment</w:t>
            </w:r>
          </w:p>
          <w:p w14:paraId="2256CF3F" w14:textId="77777777" w:rsidR="008B6B32" w:rsidRPr="007A29CC" w:rsidRDefault="008B6B32" w:rsidP="12F7AE45">
            <w:pPr>
              <w:pStyle w:val="NormalWeb"/>
              <w:spacing w:before="0" w:beforeAutospacing="0" w:after="0" w:afterAutospacing="0"/>
              <w:rPr>
                <w:rFonts w:ascii="Verdana" w:hAnsi="Verdana" w:cs="Arial"/>
                <w:b/>
                <w:bCs/>
                <w:sz w:val="18"/>
                <w:szCs w:val="18"/>
              </w:rPr>
            </w:pPr>
            <w:r>
              <w:rPr>
                <w:rFonts w:ascii="Verdana" w:eastAsia="Verdana" w:hAnsi="Verdana" w:cs="Arial"/>
                <w:sz w:val="18"/>
                <w:szCs w:val="18"/>
                <w:lang w:val="en-GB" w:bidi="en-GB"/>
              </w:rPr>
              <w:t>Interest in accordance with ABR 18, Section 35 (2).</w:t>
            </w:r>
          </w:p>
        </w:tc>
      </w:tr>
      <w:tr w:rsidR="003D6DA1" w:rsidRPr="009E782F" w14:paraId="2256CF45" w14:textId="77777777" w:rsidTr="12F7AE45">
        <w:trPr>
          <w:gridAfter w:val="1"/>
          <w:wAfter w:w="319" w:type="dxa"/>
        </w:trPr>
        <w:tc>
          <w:tcPr>
            <w:tcW w:w="461" w:type="dxa"/>
          </w:tcPr>
          <w:p w14:paraId="2256CF41"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42"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2"/>
          </w:tcPr>
          <w:p w14:paraId="2256CF43"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44"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600397" w14:paraId="2256CF48" w14:textId="77777777" w:rsidTr="12F7AE45">
        <w:trPr>
          <w:cantSplit/>
        </w:trPr>
        <w:tc>
          <w:tcPr>
            <w:tcW w:w="1159" w:type="dxa"/>
            <w:gridSpan w:val="2"/>
          </w:tcPr>
          <w:p w14:paraId="2256CF46" w14:textId="77777777" w:rsidR="00600397" w:rsidRDefault="00600397" w:rsidP="003D6DA1">
            <w:pPr>
              <w:pStyle w:val="NormalWeb"/>
              <w:spacing w:before="0" w:beforeAutospacing="0" w:after="0" w:afterAutospacing="0"/>
              <w:rPr>
                <w:rFonts w:ascii="Verdana" w:hAnsi="Verdana" w:cs="Arial"/>
                <w:sz w:val="18"/>
                <w:szCs w:val="20"/>
              </w:rPr>
            </w:pPr>
          </w:p>
        </w:tc>
        <w:tc>
          <w:tcPr>
            <w:tcW w:w="8619" w:type="dxa"/>
            <w:gridSpan w:val="4"/>
          </w:tcPr>
          <w:p w14:paraId="2256CF47" w14:textId="77777777" w:rsidR="00600397" w:rsidRDefault="00600397" w:rsidP="009D2D60">
            <w:pPr>
              <w:pStyle w:val="NormalWeb"/>
              <w:spacing w:before="0" w:beforeAutospacing="0" w:after="0" w:afterAutospacing="0"/>
              <w:rPr>
                <w:rFonts w:ascii="Verdana" w:hAnsi="Verdana" w:cs="Arial"/>
                <w:sz w:val="18"/>
                <w:szCs w:val="20"/>
              </w:rPr>
            </w:pPr>
          </w:p>
        </w:tc>
      </w:tr>
    </w:tbl>
    <w:p w14:paraId="2256CF49" w14:textId="202540D3" w:rsidR="001C5137" w:rsidRDefault="001C5137"/>
    <w:tbl>
      <w:tblPr>
        <w:tblW w:w="9778" w:type="dxa"/>
        <w:tblCellMar>
          <w:left w:w="70" w:type="dxa"/>
          <w:right w:w="70" w:type="dxa"/>
        </w:tblCellMar>
        <w:tblLook w:val="0000" w:firstRow="0" w:lastRow="0" w:firstColumn="0" w:lastColumn="0" w:noHBand="0" w:noVBand="0"/>
      </w:tblPr>
      <w:tblGrid>
        <w:gridCol w:w="461"/>
        <w:gridCol w:w="698"/>
        <w:gridCol w:w="15"/>
        <w:gridCol w:w="140"/>
        <w:gridCol w:w="556"/>
        <w:gridCol w:w="2771"/>
        <w:gridCol w:w="556"/>
        <w:gridCol w:w="1119"/>
        <w:gridCol w:w="555"/>
        <w:gridCol w:w="2573"/>
        <w:gridCol w:w="15"/>
        <w:gridCol w:w="180"/>
        <w:gridCol w:w="139"/>
      </w:tblGrid>
      <w:tr w:rsidR="003D6DA1" w:rsidRPr="007A29CC" w14:paraId="2256CF4D" w14:textId="77777777" w:rsidTr="12F7AE45">
        <w:trPr>
          <w:gridAfter w:val="3"/>
          <w:wAfter w:w="334" w:type="dxa"/>
          <w:cantSplit/>
        </w:trPr>
        <w:tc>
          <w:tcPr>
            <w:tcW w:w="461" w:type="dxa"/>
          </w:tcPr>
          <w:p w14:paraId="2256CF4A"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11.</w:t>
            </w:r>
          </w:p>
        </w:tc>
        <w:tc>
          <w:tcPr>
            <w:tcW w:w="8983" w:type="dxa"/>
            <w:gridSpan w:val="9"/>
          </w:tcPr>
          <w:p w14:paraId="2256CF4B"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Responsibility</w:t>
            </w:r>
          </w:p>
          <w:p w14:paraId="2256CF4C" w14:textId="77777777" w:rsidR="003D6DA1" w:rsidRPr="007A29CC" w:rsidRDefault="003D6DA1" w:rsidP="12F7AE45">
            <w:pPr>
              <w:pStyle w:val="NormalWeb"/>
              <w:spacing w:before="0" w:beforeAutospacing="0" w:after="0" w:afterAutospacing="0"/>
              <w:rPr>
                <w:rFonts w:ascii="Verdana" w:hAnsi="Verdana" w:cs="Arial"/>
                <w:b/>
                <w:bCs/>
                <w:sz w:val="18"/>
                <w:szCs w:val="18"/>
              </w:rPr>
            </w:pPr>
            <w:r>
              <w:rPr>
                <w:rFonts w:ascii="Verdana" w:eastAsia="Verdana" w:hAnsi="Verdana" w:cs="Arial"/>
                <w:sz w:val="18"/>
                <w:szCs w:val="18"/>
                <w:lang w:val="en-GB" w:bidi="en-GB"/>
              </w:rPr>
              <w:t xml:space="preserve">The Consultant’s total liability according to ABR 18, Section 50 (4) is, regardless of the number of damages, limited to </w:t>
            </w:r>
          </w:p>
        </w:tc>
      </w:tr>
      <w:tr w:rsidR="001C5137" w:rsidRPr="001C5137" w14:paraId="2256CF74" w14:textId="77777777" w:rsidTr="12F7AE45">
        <w:trPr>
          <w:gridAfter w:val="3"/>
          <w:wAfter w:w="334" w:type="dxa"/>
          <w:cantSplit/>
        </w:trPr>
        <w:tc>
          <w:tcPr>
            <w:tcW w:w="461" w:type="dxa"/>
          </w:tcPr>
          <w:p w14:paraId="2256CF4E"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4F"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50"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1"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2"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3"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4"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5"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6"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7"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8"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9"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A"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B"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C"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D"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E"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5F"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0"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1" w14:textId="77777777" w:rsidR="00A12A51" w:rsidRPr="001C5137" w:rsidRDefault="00A12A51" w:rsidP="12F7AE45">
            <w:pPr>
              <w:pStyle w:val="NormalWeb"/>
              <w:spacing w:before="0" w:beforeAutospacing="0" w:after="0" w:afterAutospacing="0"/>
              <w:rPr>
                <w:rFonts w:ascii="Verdana" w:hAnsi="Verdana" w:cs="Arial"/>
                <w:b/>
                <w:bCs/>
                <w:sz w:val="18"/>
                <w:szCs w:val="18"/>
              </w:rPr>
            </w:pPr>
          </w:p>
          <w:p w14:paraId="2256CF62"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eastAsia="Verdana" w:hAnsi="Verdana" w:cs="Arial"/>
                <w:b/>
                <w:sz w:val="18"/>
                <w:szCs w:val="18"/>
                <w:lang w:val="en-GB" w:bidi="en-GB"/>
              </w:rPr>
              <w:t>12.</w:t>
            </w:r>
          </w:p>
        </w:tc>
        <w:tc>
          <w:tcPr>
            <w:tcW w:w="8983" w:type="dxa"/>
            <w:gridSpan w:val="9"/>
          </w:tcPr>
          <w:p w14:paraId="2256CF63" w14:textId="77777777" w:rsidR="003D6DA1" w:rsidRPr="001C5137" w:rsidRDefault="003D6DA1" w:rsidP="00176E67">
            <w:pPr>
              <w:pStyle w:val="NormalWeb"/>
              <w:spacing w:before="0" w:beforeAutospacing="0" w:after="0" w:afterAutospacing="0"/>
              <w:rPr>
                <w:rFonts w:ascii="Verdana" w:hAnsi="Verdana" w:cs="Arial"/>
                <w:b/>
                <w:sz w:val="18"/>
                <w:szCs w:val="20"/>
              </w:rPr>
            </w:pPr>
          </w:p>
          <w:p w14:paraId="2256CF64" w14:textId="77777777" w:rsidR="00A12A51" w:rsidRPr="001C5137" w:rsidRDefault="00C56FB0" w:rsidP="00C56FB0">
            <w:pPr>
              <w:pStyle w:val="NormalWeb"/>
              <w:numPr>
                <w:ilvl w:val="0"/>
                <w:numId w:val="13"/>
              </w:numPr>
              <w:spacing w:before="0" w:beforeAutospacing="0" w:after="0" w:afterAutospacing="0"/>
              <w:rPr>
                <w:rFonts w:ascii="Verdana" w:hAnsi="Verdana" w:cs="Arial"/>
                <w:sz w:val="18"/>
                <w:szCs w:val="20"/>
              </w:rPr>
            </w:pPr>
            <w:r w:rsidRPr="001C5137">
              <w:rPr>
                <w:rFonts w:ascii="Verdana" w:eastAsia="Verdana" w:hAnsi="Verdana" w:cs="Arial"/>
                <w:sz w:val="18"/>
                <w:szCs w:val="20"/>
                <w:lang w:val="en-GB" w:bidi="en-GB"/>
              </w:rPr>
              <w:t xml:space="preserve">2 X the agreed upon fee, however, at the least DKK 2,500,000 through insurance coverage with ongoing liability coverage. </w:t>
            </w:r>
          </w:p>
          <w:p w14:paraId="2256CF65" w14:textId="77777777" w:rsidR="00A12A51" w:rsidRPr="001C5137" w:rsidRDefault="00A12A51" w:rsidP="00A12A51">
            <w:pPr>
              <w:pStyle w:val="NormalWeb"/>
              <w:spacing w:before="0" w:beforeAutospacing="0" w:after="0" w:afterAutospacing="0"/>
              <w:ind w:left="720"/>
              <w:rPr>
                <w:rFonts w:ascii="Verdana" w:hAnsi="Verdana" w:cs="Arial"/>
                <w:sz w:val="18"/>
                <w:szCs w:val="20"/>
              </w:rPr>
            </w:pPr>
          </w:p>
          <w:p w14:paraId="2256CF66" w14:textId="77777777" w:rsidR="00A12A51" w:rsidRPr="001C5137" w:rsidRDefault="00A12A51" w:rsidP="00A12A51">
            <w:pPr>
              <w:pStyle w:val="NormalWeb"/>
              <w:spacing w:before="0" w:beforeAutospacing="0" w:after="0" w:afterAutospacing="0"/>
              <w:ind w:left="720"/>
              <w:rPr>
                <w:rFonts w:ascii="Verdana" w:hAnsi="Verdana" w:cs="Arial"/>
                <w:sz w:val="18"/>
                <w:szCs w:val="20"/>
              </w:rPr>
            </w:pPr>
            <w:r w:rsidRPr="001C5137">
              <w:rPr>
                <w:rFonts w:ascii="Verdana" w:eastAsia="Verdana" w:hAnsi="Verdana" w:cs="Arial"/>
                <w:sz w:val="18"/>
                <w:szCs w:val="20"/>
                <w:lang w:val="en-GB" w:bidi="en-GB"/>
              </w:rPr>
              <w:t xml:space="preserve">At the signing of the contract the liability amounts to DKK _________ </w:t>
            </w:r>
          </w:p>
          <w:p w14:paraId="2256CF67" w14:textId="77777777" w:rsidR="00A12A51" w:rsidRPr="001C5137" w:rsidRDefault="00A12A51" w:rsidP="00A12A51">
            <w:pPr>
              <w:pStyle w:val="NormalWeb"/>
              <w:spacing w:before="0" w:beforeAutospacing="0" w:after="0" w:afterAutospacing="0"/>
              <w:ind w:left="720"/>
              <w:rPr>
                <w:rFonts w:ascii="Verdana" w:hAnsi="Verdana" w:cs="Arial"/>
                <w:sz w:val="18"/>
                <w:szCs w:val="20"/>
              </w:rPr>
            </w:pPr>
          </w:p>
          <w:p w14:paraId="2256CF68" w14:textId="77777777" w:rsidR="00A12A51" w:rsidRPr="001C5137" w:rsidRDefault="00A12A51" w:rsidP="00F97D06">
            <w:pPr>
              <w:pStyle w:val="NormalWeb"/>
              <w:spacing w:before="0" w:beforeAutospacing="0" w:after="0" w:afterAutospacing="0"/>
              <w:ind w:left="720"/>
              <w:rPr>
                <w:rFonts w:ascii="Verdana" w:hAnsi="Verdana" w:cs="Arial"/>
                <w:sz w:val="18"/>
                <w:szCs w:val="20"/>
              </w:rPr>
            </w:pPr>
            <w:r w:rsidRPr="001C5137">
              <w:rPr>
                <w:rFonts w:ascii="Verdana" w:eastAsia="Verdana" w:hAnsi="Verdana" w:cs="Arial"/>
                <w:sz w:val="18"/>
                <w:szCs w:val="20"/>
                <w:lang w:val="en-GB" w:bidi="en-GB"/>
              </w:rPr>
              <w:t xml:space="preserve">NB! The liability may, cf. ABR 18, increase if the fee increases </w:t>
            </w:r>
            <w:proofErr w:type="gramStart"/>
            <w:r w:rsidRPr="001C5137">
              <w:rPr>
                <w:rFonts w:ascii="Verdana" w:eastAsia="Verdana" w:hAnsi="Verdana" w:cs="Arial"/>
                <w:sz w:val="18"/>
                <w:szCs w:val="20"/>
                <w:lang w:val="en-GB" w:bidi="en-GB"/>
              </w:rPr>
              <w:t>at a later time</w:t>
            </w:r>
            <w:proofErr w:type="gramEnd"/>
            <w:r w:rsidRPr="001C5137">
              <w:rPr>
                <w:rFonts w:ascii="Verdana" w:eastAsia="Verdana" w:hAnsi="Verdana" w:cs="Arial"/>
                <w:sz w:val="18"/>
                <w:szCs w:val="20"/>
                <w:lang w:val="en-GB" w:bidi="en-GB"/>
              </w:rPr>
              <w:t>.</w:t>
            </w:r>
          </w:p>
          <w:p w14:paraId="2256CF69" w14:textId="77777777" w:rsidR="003D6DA1" w:rsidRPr="001C5137" w:rsidRDefault="003D6DA1" w:rsidP="00F97D06">
            <w:pPr>
              <w:pStyle w:val="NormalWeb"/>
              <w:spacing w:before="0" w:beforeAutospacing="0" w:after="0" w:afterAutospacing="0"/>
              <w:rPr>
                <w:rFonts w:ascii="Verdana" w:hAnsi="Verdana" w:cs="Arial"/>
                <w:sz w:val="18"/>
                <w:szCs w:val="20"/>
              </w:rPr>
            </w:pPr>
          </w:p>
          <w:p w14:paraId="2256CF6A" w14:textId="77777777" w:rsidR="00C56FB0" w:rsidRPr="001C5137" w:rsidRDefault="00C56FB0" w:rsidP="00C56FB0">
            <w:pPr>
              <w:pStyle w:val="NormalWeb"/>
              <w:spacing w:before="0" w:beforeAutospacing="0" w:after="0" w:afterAutospacing="0"/>
              <w:ind w:left="720"/>
              <w:rPr>
                <w:rFonts w:ascii="Verdana" w:hAnsi="Verdana" w:cs="Arial"/>
                <w:sz w:val="18"/>
                <w:szCs w:val="20"/>
              </w:rPr>
            </w:pPr>
          </w:p>
          <w:p w14:paraId="2256CF6B" w14:textId="77777777" w:rsidR="00C56FB0" w:rsidRPr="001C5137" w:rsidRDefault="00C56FB0" w:rsidP="00C56FB0">
            <w:pPr>
              <w:pStyle w:val="NormalWeb"/>
              <w:spacing w:before="0" w:beforeAutospacing="0" w:after="0" w:afterAutospacing="0"/>
              <w:ind w:left="720"/>
              <w:rPr>
                <w:rFonts w:ascii="Verdana" w:hAnsi="Verdana" w:cs="Arial"/>
                <w:b/>
                <w:sz w:val="18"/>
                <w:szCs w:val="20"/>
              </w:rPr>
            </w:pPr>
            <w:r w:rsidRPr="001C5137">
              <w:rPr>
                <w:rFonts w:ascii="Verdana" w:eastAsia="Verdana" w:hAnsi="Verdana" w:cs="Arial"/>
                <w:b/>
                <w:sz w:val="18"/>
                <w:szCs w:val="20"/>
                <w:lang w:val="en-GB" w:bidi="en-GB"/>
              </w:rPr>
              <w:t xml:space="preserve">OR </w:t>
            </w:r>
          </w:p>
          <w:p w14:paraId="2256CF6C" w14:textId="77777777" w:rsidR="00C56FB0" w:rsidRPr="001C5137" w:rsidRDefault="00C56FB0" w:rsidP="00F97D06">
            <w:pPr>
              <w:pStyle w:val="NormalWeb"/>
              <w:spacing w:before="0" w:beforeAutospacing="0" w:after="0" w:afterAutospacing="0"/>
              <w:ind w:left="720"/>
              <w:rPr>
                <w:rFonts w:ascii="Verdana" w:hAnsi="Verdana" w:cs="Arial"/>
                <w:b/>
                <w:sz w:val="18"/>
                <w:szCs w:val="20"/>
              </w:rPr>
            </w:pPr>
          </w:p>
          <w:p w14:paraId="2256CF6D" w14:textId="77777777" w:rsidR="00C56FB0" w:rsidRPr="001C5137" w:rsidRDefault="00C56FB0" w:rsidP="00C56FB0">
            <w:pPr>
              <w:pStyle w:val="NormalWeb"/>
              <w:numPr>
                <w:ilvl w:val="0"/>
                <w:numId w:val="13"/>
              </w:numPr>
              <w:spacing w:before="0" w:beforeAutospacing="0" w:after="0" w:afterAutospacing="0"/>
              <w:rPr>
                <w:rFonts w:ascii="Verdana" w:hAnsi="Verdana" w:cs="Arial"/>
                <w:sz w:val="18"/>
                <w:szCs w:val="20"/>
              </w:rPr>
            </w:pPr>
            <w:r w:rsidRPr="001C5137">
              <w:rPr>
                <w:rFonts w:ascii="Verdana" w:eastAsia="Verdana" w:hAnsi="Verdana" w:cs="Arial"/>
                <w:sz w:val="18"/>
                <w:szCs w:val="20"/>
                <w:lang w:val="en-GB" w:bidi="en-GB"/>
              </w:rPr>
              <w:t xml:space="preserve">DKK _________ for damages to property and DKK _________ for damages to persons if project liability insurance has been taken out (i.e., project specific insurance, also known as object insurance, project insurance or project liability insurance). </w:t>
            </w:r>
          </w:p>
          <w:p w14:paraId="2256CF6E" w14:textId="77777777" w:rsidR="00C56FB0" w:rsidRPr="001C5137" w:rsidRDefault="00C56FB0" w:rsidP="00C56FB0">
            <w:pPr>
              <w:pStyle w:val="NormalWeb"/>
              <w:spacing w:before="0" w:beforeAutospacing="0" w:after="0" w:afterAutospacing="0"/>
              <w:rPr>
                <w:rFonts w:ascii="Verdana" w:hAnsi="Verdana" w:cs="Arial"/>
                <w:sz w:val="18"/>
                <w:szCs w:val="20"/>
              </w:rPr>
            </w:pPr>
          </w:p>
          <w:p w14:paraId="2256CF6F" w14:textId="77777777" w:rsidR="00C56FB0" w:rsidRPr="001C5137" w:rsidRDefault="00C56FB0" w:rsidP="00F97D06">
            <w:pPr>
              <w:pStyle w:val="NormalWeb"/>
              <w:spacing w:before="0" w:beforeAutospacing="0" w:after="0" w:afterAutospacing="0"/>
              <w:rPr>
                <w:rFonts w:ascii="Verdana" w:hAnsi="Verdana" w:cs="Arial"/>
                <w:sz w:val="18"/>
                <w:szCs w:val="20"/>
              </w:rPr>
            </w:pPr>
            <w:r w:rsidRPr="001C5137">
              <w:rPr>
                <w:rFonts w:ascii="Verdana" w:eastAsia="Verdana" w:hAnsi="Verdana" w:cs="Arial"/>
                <w:sz w:val="18"/>
                <w:szCs w:val="20"/>
                <w:lang w:val="en-GB" w:bidi="en-GB"/>
              </w:rPr>
              <w:t>If the project liability insurance covers more contracts than this one, the Consultant liability is further limited to the cover amount remaining on the project insurance at any time.</w:t>
            </w:r>
          </w:p>
          <w:p w14:paraId="2256CF70" w14:textId="77777777" w:rsidR="00C56FB0" w:rsidRPr="001C5137" w:rsidRDefault="00C56FB0" w:rsidP="00C56FB0">
            <w:pPr>
              <w:pStyle w:val="NormalWeb"/>
              <w:spacing w:before="0" w:beforeAutospacing="0" w:after="0" w:afterAutospacing="0"/>
              <w:rPr>
                <w:rFonts w:ascii="Verdana" w:hAnsi="Verdana" w:cs="Arial"/>
                <w:sz w:val="18"/>
                <w:szCs w:val="20"/>
              </w:rPr>
            </w:pPr>
          </w:p>
          <w:p w14:paraId="2256CF71" w14:textId="77777777" w:rsidR="00C56FB0" w:rsidRPr="001C5137" w:rsidRDefault="00C56FB0" w:rsidP="00C56FB0">
            <w:pPr>
              <w:pStyle w:val="NormalWeb"/>
              <w:spacing w:before="0" w:beforeAutospacing="0" w:after="0" w:afterAutospacing="0"/>
              <w:ind w:left="720"/>
              <w:rPr>
                <w:rFonts w:ascii="Verdana" w:hAnsi="Verdana" w:cs="Arial"/>
                <w:sz w:val="18"/>
                <w:szCs w:val="20"/>
              </w:rPr>
            </w:pPr>
          </w:p>
          <w:p w14:paraId="2256CF72"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eastAsia="Verdana" w:hAnsi="Verdana" w:cs="Arial"/>
                <w:b/>
                <w:sz w:val="18"/>
                <w:szCs w:val="18"/>
                <w:lang w:val="en-GB" w:bidi="en-GB"/>
              </w:rPr>
              <w:t>Insurance</w:t>
            </w:r>
          </w:p>
          <w:p w14:paraId="2256CF73" w14:textId="77777777" w:rsidR="003D6DA1" w:rsidRPr="001C5137" w:rsidRDefault="12F7AE45" w:rsidP="12F7AE45">
            <w:pPr>
              <w:pStyle w:val="NormalWeb"/>
              <w:spacing w:before="0" w:beforeAutospacing="0" w:after="0" w:afterAutospacing="0"/>
              <w:rPr>
                <w:rFonts w:ascii="Verdana" w:hAnsi="Verdana" w:cs="Arial"/>
                <w:b/>
                <w:bCs/>
                <w:sz w:val="18"/>
                <w:szCs w:val="18"/>
              </w:rPr>
            </w:pPr>
            <w:r w:rsidRPr="001C5137">
              <w:rPr>
                <w:rFonts w:ascii="Verdana" w:eastAsia="Verdana" w:hAnsi="Verdana" w:cs="Arial"/>
                <w:sz w:val="18"/>
                <w:szCs w:val="18"/>
                <w:lang w:val="en-GB" w:bidi="en-GB"/>
              </w:rPr>
              <w:t>The Consultant has taken out consultancy liability insurance with</w:t>
            </w:r>
          </w:p>
        </w:tc>
      </w:tr>
      <w:tr w:rsidR="003D6DA1" w:rsidRPr="009E782F" w14:paraId="2256CF79" w14:textId="77777777" w:rsidTr="12F7AE45">
        <w:trPr>
          <w:gridAfter w:val="2"/>
          <w:wAfter w:w="319" w:type="dxa"/>
        </w:trPr>
        <w:tc>
          <w:tcPr>
            <w:tcW w:w="461" w:type="dxa"/>
          </w:tcPr>
          <w:p w14:paraId="2256CF75"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76"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8"/>
          </w:tcPr>
          <w:p w14:paraId="2256CF77"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78"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7F" w14:textId="77777777" w:rsidTr="12F7AE45">
        <w:trPr>
          <w:gridAfter w:val="3"/>
          <w:wAfter w:w="334" w:type="dxa"/>
          <w:cantSplit/>
        </w:trPr>
        <w:tc>
          <w:tcPr>
            <w:tcW w:w="461" w:type="dxa"/>
          </w:tcPr>
          <w:p w14:paraId="2256CF7A"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7B"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13.</w:t>
            </w:r>
          </w:p>
        </w:tc>
        <w:tc>
          <w:tcPr>
            <w:tcW w:w="8983" w:type="dxa"/>
            <w:gridSpan w:val="9"/>
          </w:tcPr>
          <w:p w14:paraId="2256CF7C"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7D" w14:textId="77777777" w:rsidR="003D6DA1"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Disputes</w:t>
            </w:r>
          </w:p>
          <w:p w14:paraId="2256CF7E"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sz w:val="18"/>
                <w:szCs w:val="18"/>
                <w:lang w:val="en-GB" w:bidi="en-GB"/>
              </w:rPr>
              <w:t xml:space="preserve">In accordance with ABR </w:t>
            </w:r>
            <w:proofErr w:type="gramStart"/>
            <w:r w:rsidRPr="12F7AE45">
              <w:rPr>
                <w:rFonts w:ascii="Verdana" w:eastAsia="Verdana" w:hAnsi="Verdana" w:cs="Arial"/>
                <w:sz w:val="18"/>
                <w:szCs w:val="18"/>
                <w:lang w:val="en-GB" w:bidi="en-GB"/>
              </w:rPr>
              <w:t>18 chapter</w:t>
            </w:r>
            <w:proofErr w:type="gramEnd"/>
            <w:r w:rsidRPr="12F7AE45">
              <w:rPr>
                <w:rFonts w:ascii="Verdana" w:eastAsia="Verdana" w:hAnsi="Verdana" w:cs="Arial"/>
                <w:sz w:val="18"/>
                <w:szCs w:val="18"/>
                <w:lang w:val="en-GB" w:bidi="en-GB"/>
              </w:rPr>
              <w:t xml:space="preserve"> J.</w:t>
            </w:r>
          </w:p>
        </w:tc>
      </w:tr>
      <w:tr w:rsidR="003D6DA1" w:rsidRPr="009E782F" w14:paraId="2256CF84" w14:textId="77777777" w:rsidTr="12F7AE45">
        <w:trPr>
          <w:gridAfter w:val="2"/>
          <w:wAfter w:w="319" w:type="dxa"/>
        </w:trPr>
        <w:tc>
          <w:tcPr>
            <w:tcW w:w="461" w:type="dxa"/>
          </w:tcPr>
          <w:p w14:paraId="2256CF80"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81"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8"/>
          </w:tcPr>
          <w:p w14:paraId="2256CF82"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83"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89" w14:textId="77777777" w:rsidTr="12F7AE45">
        <w:trPr>
          <w:gridAfter w:val="3"/>
          <w:wAfter w:w="334" w:type="dxa"/>
          <w:cantSplit/>
        </w:trPr>
        <w:tc>
          <w:tcPr>
            <w:tcW w:w="461" w:type="dxa"/>
          </w:tcPr>
          <w:p w14:paraId="2256CF85"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86"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14.</w:t>
            </w:r>
          </w:p>
        </w:tc>
        <w:tc>
          <w:tcPr>
            <w:tcW w:w="8983" w:type="dxa"/>
            <w:gridSpan w:val="9"/>
          </w:tcPr>
          <w:p w14:paraId="2256CF87" w14:textId="77777777" w:rsidR="003D6DA1" w:rsidRPr="007A29CC" w:rsidRDefault="003D6DA1" w:rsidP="00176E67">
            <w:pPr>
              <w:pStyle w:val="NormalWeb"/>
              <w:spacing w:before="0" w:beforeAutospacing="0" w:after="0" w:afterAutospacing="0"/>
              <w:rPr>
                <w:rFonts w:ascii="Verdana" w:hAnsi="Verdana" w:cs="Arial"/>
                <w:b/>
                <w:sz w:val="18"/>
                <w:szCs w:val="20"/>
              </w:rPr>
            </w:pPr>
          </w:p>
          <w:p w14:paraId="2256CF88"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Special provisions</w:t>
            </w:r>
          </w:p>
        </w:tc>
      </w:tr>
      <w:tr w:rsidR="003D6DA1" w:rsidRPr="009E782F" w14:paraId="2256CF8E" w14:textId="77777777" w:rsidTr="12F7AE45">
        <w:trPr>
          <w:gridAfter w:val="2"/>
          <w:wAfter w:w="319" w:type="dxa"/>
        </w:trPr>
        <w:tc>
          <w:tcPr>
            <w:tcW w:w="461" w:type="dxa"/>
          </w:tcPr>
          <w:p w14:paraId="2256CF8A"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8B"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8"/>
          </w:tcPr>
          <w:p w14:paraId="2256CF8C"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8D"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9E782F" w14:paraId="2256CF94" w14:textId="77777777" w:rsidTr="12F7AE45">
        <w:trPr>
          <w:gridAfter w:val="2"/>
          <w:wAfter w:w="319" w:type="dxa"/>
        </w:trPr>
        <w:tc>
          <w:tcPr>
            <w:tcW w:w="461" w:type="dxa"/>
          </w:tcPr>
          <w:p w14:paraId="2256CF8F" w14:textId="77777777" w:rsidR="003D6DA1" w:rsidRDefault="003D6DA1" w:rsidP="00176E67">
            <w:pPr>
              <w:pStyle w:val="NormalWeb"/>
              <w:spacing w:before="0" w:beforeAutospacing="0" w:after="0" w:afterAutospacing="0"/>
              <w:rPr>
                <w:rFonts w:ascii="Verdana" w:hAnsi="Verdana" w:cs="Arial"/>
                <w:sz w:val="18"/>
                <w:szCs w:val="20"/>
              </w:rPr>
            </w:pPr>
          </w:p>
          <w:p w14:paraId="2256CF90"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91"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p>
        </w:tc>
        <w:tc>
          <w:tcPr>
            <w:tcW w:w="8285" w:type="dxa"/>
            <w:gridSpan w:val="8"/>
          </w:tcPr>
          <w:p w14:paraId="2256CF92"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93"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3D6DA1" w:rsidRPr="007A29CC" w14:paraId="2256CF97" w14:textId="77777777" w:rsidTr="12F7AE45">
        <w:trPr>
          <w:gridAfter w:val="3"/>
          <w:wAfter w:w="334" w:type="dxa"/>
          <w:cantSplit/>
        </w:trPr>
        <w:tc>
          <w:tcPr>
            <w:tcW w:w="461" w:type="dxa"/>
          </w:tcPr>
          <w:p w14:paraId="2256CF95"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15.</w:t>
            </w:r>
          </w:p>
        </w:tc>
        <w:tc>
          <w:tcPr>
            <w:tcW w:w="8983" w:type="dxa"/>
            <w:gridSpan w:val="9"/>
          </w:tcPr>
          <w:p w14:paraId="2256CF96" w14:textId="77777777" w:rsidR="003D6DA1" w:rsidRPr="007A29CC" w:rsidRDefault="12F7AE45" w:rsidP="12F7AE45">
            <w:pPr>
              <w:pStyle w:val="NormalWeb"/>
              <w:spacing w:before="0" w:beforeAutospacing="0" w:after="0" w:afterAutospacing="0"/>
              <w:rPr>
                <w:rFonts w:ascii="Verdana" w:hAnsi="Verdana" w:cs="Arial"/>
                <w:b/>
                <w:bCs/>
                <w:sz w:val="18"/>
                <w:szCs w:val="18"/>
              </w:rPr>
            </w:pPr>
            <w:r w:rsidRPr="12F7AE45">
              <w:rPr>
                <w:rFonts w:ascii="Verdana" w:eastAsia="Verdana" w:hAnsi="Verdana" w:cs="Arial"/>
                <w:b/>
                <w:sz w:val="18"/>
                <w:szCs w:val="18"/>
                <w:lang w:val="en-GB" w:bidi="en-GB"/>
              </w:rPr>
              <w:t>Annexes</w:t>
            </w:r>
          </w:p>
        </w:tc>
      </w:tr>
      <w:tr w:rsidR="003D6DA1" w:rsidRPr="009E782F" w14:paraId="2256CF9C" w14:textId="77777777" w:rsidTr="12F7AE45">
        <w:trPr>
          <w:gridAfter w:val="2"/>
          <w:wAfter w:w="319" w:type="dxa"/>
        </w:trPr>
        <w:tc>
          <w:tcPr>
            <w:tcW w:w="461" w:type="dxa"/>
          </w:tcPr>
          <w:p w14:paraId="2256CF98" w14:textId="77777777" w:rsidR="003D6DA1" w:rsidRPr="009E782F" w:rsidRDefault="003D6DA1" w:rsidP="00176E67">
            <w:pPr>
              <w:pStyle w:val="NormalWeb"/>
              <w:spacing w:before="0" w:beforeAutospacing="0" w:after="0" w:afterAutospacing="0"/>
              <w:rPr>
                <w:rFonts w:ascii="Verdana" w:hAnsi="Verdana" w:cs="Arial"/>
                <w:sz w:val="18"/>
                <w:szCs w:val="20"/>
              </w:rPr>
            </w:pPr>
          </w:p>
        </w:tc>
        <w:tc>
          <w:tcPr>
            <w:tcW w:w="713" w:type="dxa"/>
            <w:gridSpan w:val="2"/>
          </w:tcPr>
          <w:p w14:paraId="2256CF99" w14:textId="77777777" w:rsidR="003D6DA1" w:rsidRPr="009E782F" w:rsidRDefault="003D6DA1" w:rsidP="00176E67">
            <w:pPr>
              <w:pStyle w:val="NormalWeb"/>
              <w:spacing w:before="0" w:beforeAutospacing="0" w:after="0" w:afterAutospacing="0"/>
              <w:ind w:left="160" w:hanging="160"/>
              <w:rPr>
                <w:rFonts w:ascii="Verdana" w:eastAsia="Verdana,Arial" w:hAnsi="Verdana" w:cs="Verdana,Arial"/>
                <w:sz w:val="18"/>
                <w:szCs w:val="18"/>
              </w:rPr>
            </w:pPr>
            <w:r>
              <w:rPr>
                <w:rFonts w:ascii="Verdana" w:eastAsia="Verdana" w:hAnsi="Verdana" w:cs="Arial"/>
                <w:sz w:val="18"/>
                <w:szCs w:val="20"/>
                <w:lang w:val="en-GB" w:bidi="en-GB"/>
              </w:rPr>
              <w:fldChar w:fldCharType="begin">
                <w:ffData>
                  <w:name w:val="Tekst10"/>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tc>
        <w:tc>
          <w:tcPr>
            <w:tcW w:w="8285" w:type="dxa"/>
            <w:gridSpan w:val="8"/>
          </w:tcPr>
          <w:p w14:paraId="2256CF9A" w14:textId="77777777" w:rsidR="003D6DA1" w:rsidRDefault="003D6DA1" w:rsidP="00176E67">
            <w:pPr>
              <w:pStyle w:val="NormalWeb"/>
              <w:spacing w:before="0" w:beforeAutospacing="0" w:after="0" w:afterAutospacing="0"/>
              <w:ind w:left="160"/>
              <w:rPr>
                <w:rFonts w:ascii="Verdana" w:eastAsia="Verdana" w:hAnsi="Verdana" w:cs="Verdana"/>
                <w:sz w:val="18"/>
                <w:szCs w:val="18"/>
              </w:rPr>
            </w:pPr>
          </w:p>
          <w:p w14:paraId="2256CF9B" w14:textId="77777777" w:rsidR="003D6DA1" w:rsidRPr="009E782F" w:rsidRDefault="003D6DA1" w:rsidP="00176E67">
            <w:pPr>
              <w:pStyle w:val="NormalWeb"/>
              <w:spacing w:before="0" w:beforeAutospacing="0" w:after="0" w:afterAutospacing="0"/>
              <w:ind w:left="160"/>
              <w:rPr>
                <w:rFonts w:ascii="Verdana" w:hAnsi="Verdana" w:cs="Arial"/>
                <w:sz w:val="18"/>
                <w:szCs w:val="20"/>
              </w:rPr>
            </w:pPr>
          </w:p>
        </w:tc>
      </w:tr>
      <w:tr w:rsidR="00600397" w14:paraId="2256CF9F" w14:textId="77777777" w:rsidTr="12F7AE45">
        <w:trPr>
          <w:cantSplit/>
        </w:trPr>
        <w:tc>
          <w:tcPr>
            <w:tcW w:w="1159" w:type="dxa"/>
            <w:gridSpan w:val="2"/>
          </w:tcPr>
          <w:p w14:paraId="2256CF9D"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9E"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2" w14:textId="77777777" w:rsidTr="12F7AE45">
        <w:trPr>
          <w:cantSplit/>
        </w:trPr>
        <w:tc>
          <w:tcPr>
            <w:tcW w:w="1159" w:type="dxa"/>
            <w:gridSpan w:val="2"/>
          </w:tcPr>
          <w:p w14:paraId="2256CFA0" w14:textId="77777777" w:rsidR="00600397" w:rsidRDefault="00600397" w:rsidP="009D2D60">
            <w:pPr>
              <w:pStyle w:val="NormalWeb"/>
              <w:spacing w:before="0" w:beforeAutospacing="0" w:after="0" w:afterAutospacing="0"/>
              <w:rPr>
                <w:rFonts w:ascii="Verdana" w:hAnsi="Verdana" w:cs="Arial"/>
                <w:sz w:val="18"/>
                <w:szCs w:val="20"/>
              </w:rPr>
            </w:pPr>
          </w:p>
        </w:tc>
        <w:tc>
          <w:tcPr>
            <w:tcW w:w="8619" w:type="dxa"/>
            <w:gridSpan w:val="11"/>
          </w:tcPr>
          <w:p w14:paraId="2256CFA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FA5" w14:textId="77777777" w:rsidTr="12F7AE45">
        <w:trPr>
          <w:cantSplit/>
        </w:trPr>
        <w:tc>
          <w:tcPr>
            <w:tcW w:w="1159" w:type="dxa"/>
            <w:gridSpan w:val="2"/>
          </w:tcPr>
          <w:p w14:paraId="2256CFA3"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A4"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8" w14:textId="77777777" w:rsidTr="12F7AE45">
        <w:trPr>
          <w:cantSplit/>
        </w:trPr>
        <w:tc>
          <w:tcPr>
            <w:tcW w:w="1159" w:type="dxa"/>
            <w:gridSpan w:val="2"/>
          </w:tcPr>
          <w:p w14:paraId="2256CFA6" w14:textId="77777777" w:rsidR="00600397" w:rsidRDefault="00600397" w:rsidP="009D2D60">
            <w:pPr>
              <w:pStyle w:val="NormalWeb"/>
              <w:spacing w:before="0" w:beforeAutospacing="0" w:after="0" w:afterAutospacing="0"/>
              <w:rPr>
                <w:rFonts w:ascii="Verdana" w:hAnsi="Verdana" w:cs="Arial"/>
                <w:sz w:val="18"/>
                <w:szCs w:val="20"/>
              </w:rPr>
            </w:pPr>
          </w:p>
        </w:tc>
        <w:tc>
          <w:tcPr>
            <w:tcW w:w="8619" w:type="dxa"/>
            <w:gridSpan w:val="11"/>
          </w:tcPr>
          <w:p w14:paraId="2256CFA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256CFAB" w14:textId="77777777" w:rsidTr="12F7AE45">
        <w:trPr>
          <w:cantSplit/>
        </w:trPr>
        <w:tc>
          <w:tcPr>
            <w:tcW w:w="1159" w:type="dxa"/>
            <w:gridSpan w:val="2"/>
          </w:tcPr>
          <w:p w14:paraId="2256CFA9"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AA" w14:textId="77777777" w:rsidR="00600397" w:rsidRDefault="00600397" w:rsidP="5BD6DF36">
            <w:pPr>
              <w:spacing w:before="60" w:after="60"/>
              <w:rPr>
                <w:rFonts w:ascii="Verdana,Arial" w:eastAsia="Verdana,Arial" w:hAnsi="Verdana,Arial" w:cs="Verdana,Arial"/>
                <w:b/>
                <w:bCs/>
                <w:sz w:val="18"/>
                <w:szCs w:val="18"/>
              </w:rPr>
            </w:pPr>
          </w:p>
        </w:tc>
      </w:tr>
      <w:tr w:rsidR="00600397" w14:paraId="2256CFAE" w14:textId="77777777" w:rsidTr="12F7AE45">
        <w:trPr>
          <w:cantSplit/>
        </w:trPr>
        <w:tc>
          <w:tcPr>
            <w:tcW w:w="1159" w:type="dxa"/>
            <w:gridSpan w:val="2"/>
          </w:tcPr>
          <w:p w14:paraId="2256CFAC" w14:textId="77777777" w:rsidR="00600397" w:rsidRPr="00321CA6" w:rsidRDefault="00600397" w:rsidP="009D2D60">
            <w:pPr>
              <w:pStyle w:val="NormalWeb"/>
              <w:spacing w:before="0" w:beforeAutospacing="0" w:after="0" w:afterAutospacing="0"/>
              <w:rPr>
                <w:rFonts w:ascii="Verdana" w:hAnsi="Verdana" w:cs="Arial"/>
                <w:sz w:val="18"/>
                <w:szCs w:val="18"/>
              </w:rPr>
            </w:pPr>
          </w:p>
        </w:tc>
        <w:tc>
          <w:tcPr>
            <w:tcW w:w="8619" w:type="dxa"/>
            <w:gridSpan w:val="11"/>
          </w:tcPr>
          <w:p w14:paraId="2256CFAD" w14:textId="77777777" w:rsidR="00600397" w:rsidRPr="00321CA6" w:rsidRDefault="00600397" w:rsidP="009D2D60">
            <w:pPr>
              <w:pStyle w:val="NormalWeb"/>
              <w:spacing w:before="0" w:beforeAutospacing="0" w:after="0" w:afterAutospacing="0"/>
              <w:rPr>
                <w:rFonts w:ascii="Verdana" w:hAnsi="Verdana" w:cs="Arial"/>
                <w:sz w:val="18"/>
                <w:szCs w:val="18"/>
              </w:rPr>
            </w:pPr>
          </w:p>
        </w:tc>
      </w:tr>
      <w:tr w:rsidR="00600397" w14:paraId="2256CFB1" w14:textId="77777777" w:rsidTr="12F7AE45">
        <w:trPr>
          <w:cantSplit/>
        </w:trPr>
        <w:tc>
          <w:tcPr>
            <w:tcW w:w="1159" w:type="dxa"/>
            <w:gridSpan w:val="2"/>
          </w:tcPr>
          <w:p w14:paraId="2256CFAF" w14:textId="77777777" w:rsidR="00600397" w:rsidRDefault="00600397" w:rsidP="5BD6DF36">
            <w:pPr>
              <w:spacing w:before="60" w:after="60"/>
              <w:rPr>
                <w:rFonts w:ascii="Verdana,Arial" w:eastAsia="Verdana,Arial" w:hAnsi="Verdana,Arial" w:cs="Verdana,Arial"/>
                <w:b/>
                <w:bCs/>
                <w:sz w:val="18"/>
                <w:szCs w:val="18"/>
              </w:rPr>
            </w:pPr>
          </w:p>
        </w:tc>
        <w:tc>
          <w:tcPr>
            <w:tcW w:w="8619" w:type="dxa"/>
            <w:gridSpan w:val="11"/>
          </w:tcPr>
          <w:p w14:paraId="2256CFB0" w14:textId="77777777" w:rsidR="00600397" w:rsidRDefault="00600397" w:rsidP="5BD6DF36">
            <w:pPr>
              <w:spacing w:before="60" w:after="60"/>
              <w:rPr>
                <w:rFonts w:ascii="Verdana,Arial" w:eastAsia="Verdana,Arial" w:hAnsi="Verdana,Arial" w:cs="Verdana,Arial"/>
                <w:b/>
                <w:bCs/>
                <w:sz w:val="18"/>
                <w:szCs w:val="18"/>
              </w:rPr>
            </w:pPr>
          </w:p>
        </w:tc>
      </w:tr>
      <w:tr w:rsidR="00A721C9" w14:paraId="2256CFB9" w14:textId="77777777" w:rsidTr="12F7AE45">
        <w:trPr>
          <w:gridAfter w:val="1"/>
          <w:wAfter w:w="139" w:type="dxa"/>
        </w:trPr>
        <w:tc>
          <w:tcPr>
            <w:tcW w:w="1314" w:type="dxa"/>
            <w:gridSpan w:val="4"/>
            <w:tcBorders>
              <w:top w:val="single" w:sz="4" w:space="0" w:color="auto"/>
            </w:tcBorders>
          </w:tcPr>
          <w:p w14:paraId="2256CFB2"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Date</w:t>
            </w:r>
          </w:p>
        </w:tc>
        <w:tc>
          <w:tcPr>
            <w:tcW w:w="556" w:type="dxa"/>
          </w:tcPr>
          <w:p w14:paraId="2256CFB3" w14:textId="77777777" w:rsidR="00600397" w:rsidRDefault="00600397" w:rsidP="009D2D60">
            <w:pPr>
              <w:pStyle w:val="NormalWeb"/>
              <w:spacing w:before="60" w:beforeAutospacing="0"/>
              <w:rPr>
                <w:rFonts w:ascii="Verdana" w:hAnsi="Verdana" w:cs="Arial"/>
                <w:sz w:val="18"/>
                <w:szCs w:val="20"/>
              </w:rPr>
            </w:pPr>
          </w:p>
        </w:tc>
        <w:tc>
          <w:tcPr>
            <w:tcW w:w="2771" w:type="dxa"/>
            <w:tcBorders>
              <w:top w:val="single" w:sz="4" w:space="0" w:color="auto"/>
            </w:tcBorders>
          </w:tcPr>
          <w:p w14:paraId="2256CFB4" w14:textId="1DD4720E" w:rsidR="00600397" w:rsidRDefault="00D253FE" w:rsidP="00D253FE">
            <w:pPr>
              <w:pStyle w:val="NormalWeb"/>
              <w:spacing w:before="60" w:beforeAutospacing="0"/>
              <w:rPr>
                <w:rFonts w:ascii="Verdana,Arial" w:eastAsia="Verdana,Arial" w:hAnsi="Verdana,Arial" w:cs="Verdana,Arial"/>
                <w:sz w:val="18"/>
                <w:szCs w:val="18"/>
              </w:rPr>
            </w:pPr>
            <w:r>
              <w:rPr>
                <w:rFonts w:ascii="Verdana" w:eastAsia="Verdana" w:hAnsi="Verdana" w:cs="Verdana"/>
                <w:sz w:val="18"/>
                <w:szCs w:val="18"/>
                <w:lang w:val="en-GB" w:bidi="en-GB"/>
              </w:rPr>
              <w:t>Client</w:t>
            </w:r>
          </w:p>
        </w:tc>
        <w:tc>
          <w:tcPr>
            <w:tcW w:w="556" w:type="dxa"/>
          </w:tcPr>
          <w:p w14:paraId="2256CFB5" w14:textId="77777777" w:rsidR="00600397" w:rsidRDefault="00600397" w:rsidP="009D2D60">
            <w:pPr>
              <w:pStyle w:val="NormalWeb"/>
              <w:spacing w:before="60" w:beforeAutospacing="0"/>
              <w:rPr>
                <w:rFonts w:ascii="Verdana" w:hAnsi="Verdana" w:cs="Arial"/>
                <w:sz w:val="18"/>
                <w:szCs w:val="20"/>
              </w:rPr>
            </w:pPr>
          </w:p>
        </w:tc>
        <w:tc>
          <w:tcPr>
            <w:tcW w:w="1119" w:type="dxa"/>
            <w:tcBorders>
              <w:top w:val="single" w:sz="4" w:space="0" w:color="auto"/>
            </w:tcBorders>
          </w:tcPr>
          <w:p w14:paraId="2256CFB6"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Date</w:t>
            </w:r>
          </w:p>
        </w:tc>
        <w:tc>
          <w:tcPr>
            <w:tcW w:w="555" w:type="dxa"/>
          </w:tcPr>
          <w:p w14:paraId="2256CFB7" w14:textId="77777777" w:rsidR="00600397" w:rsidRDefault="00600397" w:rsidP="009D2D60">
            <w:pPr>
              <w:pStyle w:val="NormalWeb"/>
              <w:spacing w:before="60" w:beforeAutospacing="0"/>
              <w:rPr>
                <w:rFonts w:ascii="Verdana" w:hAnsi="Verdana" w:cs="Arial"/>
                <w:sz w:val="18"/>
                <w:szCs w:val="20"/>
              </w:rPr>
            </w:pPr>
          </w:p>
        </w:tc>
        <w:tc>
          <w:tcPr>
            <w:tcW w:w="2768" w:type="dxa"/>
            <w:gridSpan w:val="3"/>
            <w:tcBorders>
              <w:top w:val="single" w:sz="4" w:space="0" w:color="auto"/>
            </w:tcBorders>
          </w:tcPr>
          <w:p w14:paraId="2256CFB8" w14:textId="77777777" w:rsidR="00600397" w:rsidRDefault="12F7AE45" w:rsidP="12F7AE45">
            <w:pPr>
              <w:pStyle w:val="NormalWeb"/>
              <w:spacing w:before="60" w:beforeAutospacing="0"/>
              <w:rPr>
                <w:rFonts w:ascii="Verdana,Arial" w:eastAsia="Verdana,Arial" w:hAnsi="Verdana,Arial" w:cs="Verdana,Arial"/>
                <w:sz w:val="18"/>
                <w:szCs w:val="18"/>
              </w:rPr>
            </w:pPr>
            <w:r w:rsidRPr="12F7AE45">
              <w:rPr>
                <w:rFonts w:ascii="Verdana" w:eastAsia="Verdana" w:hAnsi="Verdana" w:cs="Verdana"/>
                <w:sz w:val="18"/>
                <w:szCs w:val="18"/>
                <w:lang w:val="en-GB" w:bidi="en-GB"/>
              </w:rPr>
              <w:t>Consultant</w:t>
            </w:r>
          </w:p>
        </w:tc>
      </w:tr>
    </w:tbl>
    <w:p w14:paraId="2256CFBA" w14:textId="77777777" w:rsidR="00462A90" w:rsidRDefault="00462A90" w:rsidP="00462A90">
      <w:pPr>
        <w:pStyle w:val="NormalWeb"/>
        <w:rPr>
          <w:rFonts w:ascii="Verdana" w:hAnsi="Verdana"/>
          <w:b/>
          <w:sz w:val="18"/>
          <w:szCs w:val="18"/>
        </w:rPr>
      </w:pPr>
      <w:r>
        <w:rPr>
          <w:rFonts w:ascii="Verdana" w:eastAsia="Verdana" w:hAnsi="Verdana" w:cs="Verdana"/>
          <w:b/>
          <w:sz w:val="18"/>
          <w:szCs w:val="18"/>
          <w:lang w:val="en-GB" w:bidi="en-GB"/>
        </w:rPr>
        <w:br w:type="page"/>
      </w:r>
    </w:p>
    <w:p w14:paraId="2256CFBB" w14:textId="77777777" w:rsidR="00FA76CE" w:rsidRDefault="12F7AE45" w:rsidP="12F7AE45">
      <w:pPr>
        <w:pStyle w:val="NormalWeb"/>
        <w:spacing w:before="0" w:beforeAutospacing="0" w:after="0" w:afterAutospacing="0"/>
        <w:rPr>
          <w:rFonts w:ascii="Arial" w:eastAsia="Arial" w:hAnsi="Arial" w:cs="Arial"/>
          <w:b/>
          <w:bCs/>
        </w:rPr>
      </w:pPr>
      <w:r w:rsidRPr="12F7AE45">
        <w:rPr>
          <w:rFonts w:ascii="Arial" w:eastAsia="Arial" w:hAnsi="Arial" w:cs="Arial"/>
          <w:b/>
          <w:lang w:val="en-GB" w:bidi="en-GB"/>
        </w:rPr>
        <w:lastRenderedPageBreak/>
        <w:t>Instructions for the agreement form for agreements on technical consultancy services and assistance in accordance with ABR 18</w:t>
      </w:r>
    </w:p>
    <w:p w14:paraId="2256CFBC" w14:textId="77777777" w:rsidR="000D279C" w:rsidRDefault="000D279C" w:rsidP="5BD6DF36">
      <w:pPr>
        <w:pStyle w:val="NormalWeb"/>
        <w:spacing w:before="0" w:beforeAutospacing="0" w:after="0" w:afterAutospacing="0"/>
        <w:rPr>
          <w:rFonts w:ascii="Verdana" w:eastAsia="Verdana" w:hAnsi="Verdana" w:cs="Verdana"/>
          <w:sz w:val="18"/>
          <w:szCs w:val="18"/>
        </w:rPr>
      </w:pPr>
    </w:p>
    <w:p w14:paraId="2256CFBD" w14:textId="77777777" w:rsidR="00FA76CE"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Developed by FRI (The Danish Association of Consulting Engineers) and The Danish Association of Architectural Firms.</w:t>
      </w:r>
    </w:p>
    <w:p w14:paraId="2256CFBE" w14:textId="77777777" w:rsidR="00FA76CE" w:rsidRDefault="00FA76CE" w:rsidP="00FA76CE">
      <w:pPr>
        <w:pStyle w:val="NormalWeb"/>
        <w:spacing w:before="0" w:beforeAutospacing="0" w:after="0" w:afterAutospacing="0"/>
        <w:rPr>
          <w:rFonts w:ascii="Verdana" w:hAnsi="Verdana"/>
          <w:sz w:val="18"/>
          <w:szCs w:val="18"/>
        </w:rPr>
      </w:pPr>
    </w:p>
    <w:p w14:paraId="2256CFBF" w14:textId="77777777" w:rsidR="00FA76CE" w:rsidRPr="009F3325" w:rsidRDefault="00FA76CE" w:rsidP="00FA76CE">
      <w:pPr>
        <w:pStyle w:val="NormalWeb"/>
        <w:spacing w:before="0" w:beforeAutospacing="0" w:after="0" w:afterAutospacing="0"/>
        <w:rPr>
          <w:rFonts w:ascii="Verdana" w:hAnsi="Verdana"/>
          <w:sz w:val="18"/>
          <w:szCs w:val="18"/>
        </w:rPr>
      </w:pPr>
    </w:p>
    <w:p w14:paraId="2256CFC0" w14:textId="1FD46FF9"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sz w:val="18"/>
          <w:szCs w:val="18"/>
          <w:lang w:val="en-GB" w:bidi="en-GB"/>
        </w:rPr>
        <w:t>General</w:t>
      </w:r>
      <w:r w:rsidR="5BD6DF36">
        <w:rPr>
          <w:lang w:val="en-GB" w:bidi="en-GB"/>
        </w:rPr>
        <w:br/>
      </w:r>
      <w:r w:rsidRPr="12F7AE45">
        <w:rPr>
          <w:rFonts w:ascii="Verdana" w:eastAsia="Verdana" w:hAnsi="Verdana" w:cs="Verdana"/>
          <w:sz w:val="18"/>
          <w:szCs w:val="18"/>
          <w:lang w:val="en-GB" w:bidi="en-GB"/>
        </w:rPr>
        <w:t xml:space="preserve">The agreement form and the following instructions have been designed for agreements on both joint consultancy services and full-service consultancy services. In the instructions, conditions that specifically need to be observed in connection with these are explained. ABR 18 does not apply for agreements with consumers, but between all other types of clients and consultants, e.g., architects, engineers, and landscape architects. The conditions in ABR form a coherent set of contract terms that regulate the relation between the Parties with provisions that are balanced in relation to the Parties’ interests, and that ensure a fixed and familiar framework for the Parties’ legal relationship. In the event of deviations, there is a risk of shifting the balance between the Parties of the construction work. Therefore, the provisions should be used in their entirety, and the Client and the Consultant should be very reluctant to depart from ABR 18, see also the Ministry of Housing's circular letter of 1990-02-28 for ministries, agencies and municipal councils, Circular no. 120 of 1990-06-26 on urban renewal, Executive Order no. 500 of 2002 (general housing and supported private cooperative housing, etc.), according to which state or government-supported buildings may not deviate from the AB-rules unless there is a special justification. </w:t>
      </w:r>
    </w:p>
    <w:p w14:paraId="2256CFC1"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1.1</w:t>
      </w:r>
      <w:r w:rsidR="5BD6DF36">
        <w:rPr>
          <w:lang w:val="en-GB" w:bidi="en-GB"/>
        </w:rPr>
        <w:br/>
      </w:r>
      <w:r w:rsidRPr="12F7AE45">
        <w:rPr>
          <w:rFonts w:ascii="Verdana" w:eastAsia="Verdana" w:hAnsi="Verdana" w:cs="Verdana"/>
          <w:sz w:val="18"/>
          <w:szCs w:val="18"/>
          <w:lang w:val="en-GB" w:bidi="en-GB"/>
        </w:rPr>
        <w:t xml:space="preserve">If it has been agreed that one or more persons are responsible for the agreed service, state the name(s) here. According to ABR 18, Section 22, it must be stated in the agreement who represents the Client in dealings with the Consultant. </w:t>
      </w:r>
    </w:p>
    <w:p w14:paraId="2256CFC2"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1.2</w:t>
      </w:r>
      <w:r w:rsidR="5BD6DF36">
        <w:rPr>
          <w:lang w:val="en-GB" w:bidi="en-GB"/>
        </w:rPr>
        <w:br/>
      </w:r>
      <w:r w:rsidRPr="12F7AE45">
        <w:rPr>
          <w:rFonts w:ascii="Verdana" w:eastAsia="Verdana" w:hAnsi="Verdana" w:cs="Verdana"/>
          <w:sz w:val="18"/>
          <w:szCs w:val="18"/>
          <w:lang w:val="en-GB" w:bidi="en-GB"/>
        </w:rPr>
        <w:t>In case of joint consultancy, cf. ABR 18, Section 10 (2), state the name(s) and address(es).</w:t>
      </w:r>
    </w:p>
    <w:p w14:paraId="2256CFC3"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In the case of full-service consultancy, cf. ABR 18, Section 10 (1), the name and address of the lead consultant/group/consortium and the group leader must be stated.</w:t>
      </w:r>
    </w:p>
    <w:p w14:paraId="2256CFC4"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2.1</w:t>
      </w:r>
      <w:r w:rsidR="5BD6DF36">
        <w:rPr>
          <w:lang w:val="en-GB" w:bidi="en-GB"/>
        </w:rPr>
        <w:br/>
      </w:r>
      <w:r w:rsidRPr="12F7AE45">
        <w:rPr>
          <w:rFonts w:ascii="Verdana" w:eastAsia="Verdana" w:hAnsi="Verdana" w:cs="Verdana"/>
          <w:sz w:val="18"/>
          <w:szCs w:val="18"/>
          <w:lang w:val="en-GB" w:bidi="en-GB"/>
        </w:rPr>
        <w:t>State information for the individualisation of the task, e.g., the name of the project, location and gross occupancy area, as well as whether it concerns renovation, rebuilding, extension or new construction.</w:t>
      </w:r>
    </w:p>
    <w:p w14:paraId="2256CFC5"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 xml:space="preserve">Specify the delimitation of the professional scope of the consultancy services, e.g. architectural services, or for engineers clarify whether the service relates to plumbing, electricity, constructions, environment, etc. It should also be clarified here if a natural part of the service is not provided by the Consultant but by the Client themselves or by another consultant. </w:t>
      </w:r>
    </w:p>
    <w:p w14:paraId="2256CFC6"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2.2</w:t>
      </w:r>
      <w:r w:rsidR="5BD6DF36">
        <w:rPr>
          <w:lang w:val="en-GB" w:bidi="en-GB"/>
        </w:rPr>
        <w:br/>
      </w:r>
      <w:r w:rsidRPr="12F7AE45">
        <w:rPr>
          <w:rFonts w:ascii="Verdana" w:eastAsia="Verdana" w:hAnsi="Verdana" w:cs="Verdana"/>
          <w:sz w:val="18"/>
          <w:szCs w:val="18"/>
          <w:lang w:val="en-GB" w:bidi="en-GB"/>
        </w:rPr>
        <w:t>The subconsultants contracted by the Consultant in connection with the task shall be specified here, cf. ABR 18, Section 7.</w:t>
      </w:r>
    </w:p>
    <w:p w14:paraId="2256CFC7" w14:textId="77777777"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sz w:val="18"/>
          <w:szCs w:val="18"/>
          <w:lang w:val="en-GB" w:bidi="en-GB"/>
        </w:rPr>
        <w:t>re. 2.3</w:t>
      </w:r>
    </w:p>
    <w:p w14:paraId="2256CFC8" w14:textId="77777777" w:rsidR="008B6B32" w:rsidRDefault="008B6B32" w:rsidP="12F7AE45">
      <w:pPr>
        <w:pStyle w:val="NormalWeb"/>
        <w:spacing w:before="0" w:beforeAutospacing="0" w:after="0" w:afterAutospacing="0"/>
        <w:jc w:val="both"/>
        <w:rPr>
          <w:rFonts w:ascii="Verdana" w:eastAsia="Verdana" w:hAnsi="Verdana" w:cs="Verdana"/>
          <w:sz w:val="18"/>
          <w:szCs w:val="18"/>
        </w:rPr>
      </w:pPr>
      <w:r>
        <w:rPr>
          <w:rFonts w:ascii="Verdana" w:eastAsia="Verdana" w:hAnsi="Verdana" w:cs="Verdana"/>
          <w:sz w:val="18"/>
          <w:szCs w:val="18"/>
          <w:lang w:val="en-GB" w:bidi="en-GB"/>
        </w:rPr>
        <w:t>If the following have been appointed:</w:t>
      </w:r>
    </w:p>
    <w:p w14:paraId="2256CFC9" w14:textId="09CD783A" w:rsidR="00462A90" w:rsidRPr="00D03AE0" w:rsidRDefault="00E72BE9" w:rsidP="12F7AE45">
      <w:pPr>
        <w:pStyle w:val="NormalWeb"/>
        <w:spacing w:before="0" w:beforeAutospacing="0" w:after="0" w:afterAutospacing="0"/>
        <w:jc w:val="both"/>
        <w:rPr>
          <w:rFonts w:ascii="Verdana" w:eastAsia="Verdana" w:hAnsi="Verdana" w:cs="Verdana"/>
          <w:sz w:val="18"/>
          <w:szCs w:val="18"/>
        </w:rPr>
      </w:pPr>
      <w:r>
        <w:rPr>
          <w:rFonts w:ascii="Verdana" w:eastAsia="Verdana" w:hAnsi="Verdana" w:cs="Verdana"/>
          <w:sz w:val="18"/>
          <w:szCs w:val="18"/>
          <w:lang w:val="en-GB" w:bidi="en-GB"/>
        </w:rPr>
        <w:t xml:space="preserve">As project planning manager, cf. ABR 18, </w:t>
      </w:r>
      <w:r w:rsidR="008134FA">
        <w:rPr>
          <w:rFonts w:ascii="Verdana" w:eastAsia="Verdana" w:hAnsi="Verdana" w:cs="Verdana"/>
          <w:sz w:val="18"/>
          <w:szCs w:val="18"/>
          <w:lang w:val="en-GB" w:bidi="en-GB"/>
        </w:rPr>
        <w:t xml:space="preserve">Section </w:t>
      </w:r>
      <w:r>
        <w:rPr>
          <w:rFonts w:ascii="Verdana" w:eastAsia="Verdana" w:hAnsi="Verdana" w:cs="Verdana"/>
          <w:sz w:val="18"/>
          <w:szCs w:val="18"/>
          <w:lang w:val="en-GB" w:bidi="en-GB"/>
        </w:rPr>
        <w:t>23, we have appointed: […………………………]</w:t>
      </w:r>
    </w:p>
    <w:p w14:paraId="2256CFCA" w14:textId="77777777" w:rsidR="00462A90" w:rsidRPr="00FB4F87" w:rsidRDefault="00E72BE9" w:rsidP="12F7AE45">
      <w:pPr>
        <w:pStyle w:val="NormalWeb"/>
        <w:rPr>
          <w:rFonts w:ascii="Verdana" w:eastAsia="Verdana" w:hAnsi="Verdana" w:cs="Verdana"/>
          <w:i/>
          <w:iCs/>
          <w:sz w:val="18"/>
          <w:szCs w:val="18"/>
        </w:rPr>
      </w:pPr>
      <w:r>
        <w:rPr>
          <w:rFonts w:ascii="Verdana" w:eastAsia="Verdana" w:hAnsi="Verdana" w:cs="Verdana"/>
          <w:sz w:val="18"/>
          <w:szCs w:val="18"/>
          <w:lang w:val="en-GB" w:bidi="en-GB"/>
        </w:rPr>
        <w:t>As construction manager, cf. AB 18, Section 24, we have appointed: […………………………]</w:t>
      </w:r>
    </w:p>
    <w:p w14:paraId="2256CFCB"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 xml:space="preserve">As other “key persons”, we have appointed: […………………………] </w:t>
      </w:r>
    </w:p>
    <w:p w14:paraId="2256CFCC" w14:textId="77777777" w:rsidR="00FB4F87"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2.4</w:t>
      </w:r>
      <w:r w:rsidR="26C04F92">
        <w:rPr>
          <w:lang w:val="en-GB" w:bidi="en-GB"/>
        </w:rPr>
        <w:br/>
      </w:r>
      <w:r w:rsidR="007523DB">
        <w:rPr>
          <w:rFonts w:ascii="Verdana" w:eastAsia="Verdana" w:hAnsi="Verdana" w:cs="Verdana"/>
          <w:sz w:val="18"/>
          <w:szCs w:val="18"/>
          <w:lang w:val="en-GB" w:bidi="en-GB"/>
        </w:rPr>
        <w:t>According to ABR 18, Section 22, the Client must state in the agreement who represents the Client in dealings with the Consultant. The Consultant should make sure that the specified person has the authority to enter into binding agreements with the Consultant on behalf of the Client: […………………………]</w:t>
      </w:r>
    </w:p>
    <w:p w14:paraId="2256CFCD" w14:textId="77777777" w:rsidR="26C04F92" w:rsidRPr="00FB4F8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b/>
          <w:sz w:val="18"/>
          <w:szCs w:val="18"/>
          <w:lang w:val="en-GB" w:bidi="en-GB"/>
        </w:rPr>
        <w:t>Re. 2.5</w:t>
      </w:r>
    </w:p>
    <w:p w14:paraId="2256CFCE" w14:textId="7B74A48C" w:rsidR="26C04F92" w:rsidRDefault="006D5189" w:rsidP="12F7AE45">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 xml:space="preserve">The Client has assigned the following other consultants to the project: </w:t>
      </w:r>
    </w:p>
    <w:p w14:paraId="2256CFCF" w14:textId="77777777" w:rsidR="00BB5D80" w:rsidRDefault="00BB5D80" w:rsidP="00BB5D80">
      <w:pPr>
        <w:pStyle w:val="NormalWeb"/>
        <w:spacing w:before="0" w:beforeAutospacing="0" w:after="0" w:afterAutospacing="0"/>
        <w:rPr>
          <w:rFonts w:ascii="Verdana" w:eastAsia="Verdana" w:hAnsi="Verdana" w:cs="Verdana"/>
          <w:i/>
          <w:sz w:val="18"/>
          <w:szCs w:val="18"/>
        </w:rPr>
      </w:pPr>
    </w:p>
    <w:p w14:paraId="2256CFD0"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[Company]</w:t>
      </w:r>
    </w:p>
    <w:p w14:paraId="2256CFD1"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lastRenderedPageBreak/>
        <w:t>[Address]</w:t>
      </w:r>
    </w:p>
    <w:p w14:paraId="2256CFD2" w14:textId="77777777" w:rsidR="00FB4F87" w:rsidRPr="00BB5D8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[Postal code and city]</w:t>
      </w:r>
    </w:p>
    <w:p w14:paraId="2256CFD3" w14:textId="77777777" w:rsidR="00FB4F87"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[CVR (Company Registration)/no.]</w:t>
      </w:r>
    </w:p>
    <w:p w14:paraId="2256CFD4" w14:textId="77777777" w:rsidR="00BB5D80" w:rsidRPr="00BB5D80" w:rsidRDefault="00BB5D80" w:rsidP="00BB5D80">
      <w:pPr>
        <w:pStyle w:val="NormalWeb"/>
        <w:spacing w:before="0" w:beforeAutospacing="0" w:after="0" w:afterAutospacing="0"/>
        <w:rPr>
          <w:rFonts w:ascii="Verdana" w:eastAsia="Verdana" w:hAnsi="Verdana" w:cs="Verdana"/>
          <w:sz w:val="18"/>
          <w:szCs w:val="18"/>
        </w:rPr>
      </w:pPr>
    </w:p>
    <w:p w14:paraId="2256CFD5" w14:textId="77777777" w:rsidR="00542A91"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sz w:val="18"/>
          <w:szCs w:val="18"/>
          <w:lang w:val="en-GB" w:bidi="en-GB"/>
        </w:rPr>
        <w:t>re. 3.0</w:t>
      </w:r>
    </w:p>
    <w:p w14:paraId="2256CFD6" w14:textId="77777777" w:rsidR="00542A91" w:rsidRDefault="12F7AE45" w:rsidP="12F7AE45">
      <w:pPr>
        <w:pStyle w:val="NormalWeb"/>
        <w:spacing w:before="0" w:beforeAutospacing="0" w:after="0" w:afterAutospacing="0"/>
        <w:rPr>
          <w:rFonts w:ascii="Verdana" w:eastAsia="Verdana" w:hAnsi="Verdana" w:cs="Verdana"/>
          <w:sz w:val="18"/>
          <w:szCs w:val="18"/>
        </w:rPr>
      </w:pPr>
      <w:proofErr w:type="gramStart"/>
      <w:r w:rsidRPr="12F7AE45">
        <w:rPr>
          <w:rFonts w:ascii="Verdana" w:eastAsia="Verdana" w:hAnsi="Verdana" w:cs="Verdana"/>
          <w:sz w:val="18"/>
          <w:szCs w:val="18"/>
          <w:lang w:val="en-GB" w:bidi="en-GB"/>
        </w:rPr>
        <w:t>In order for</w:t>
      </w:r>
      <w:proofErr w:type="gramEnd"/>
      <w:r w:rsidRPr="12F7AE45">
        <w:rPr>
          <w:rFonts w:ascii="Verdana" w:eastAsia="Verdana" w:hAnsi="Verdana" w:cs="Verdana"/>
          <w:sz w:val="18"/>
          <w:szCs w:val="18"/>
          <w:lang w:val="en-GB" w:bidi="en-GB"/>
        </w:rPr>
        <w:t xml:space="preserve"> the agreement to be as clear as possible, the Parties should carefully consider which documents should be listed here as elements of the contractual basis. In case of disagreements, note the hierarchy of the documents, cf. ABR 18, Section 4 (5). If there is deviation from ABR 18, this should be clearly stated with reference to the respective provisions in </w:t>
      </w:r>
      <w:r w:rsidRPr="12F7AE45">
        <w:rPr>
          <w:rFonts w:ascii="Verdana" w:eastAsia="Verdana" w:hAnsi="Verdana" w:cs="Verdana"/>
          <w:sz w:val="18"/>
          <w:szCs w:val="18"/>
          <w:u w:val="single"/>
          <w:lang w:val="en-GB" w:bidi="en-GB"/>
        </w:rPr>
        <w:t>Annex 1.</w:t>
      </w:r>
    </w:p>
    <w:p w14:paraId="2256CFD7" w14:textId="77777777" w:rsidR="00BB5D80" w:rsidRPr="00BB5D80" w:rsidRDefault="00BB5D80" w:rsidP="00BB5D80">
      <w:pPr>
        <w:pStyle w:val="NormalWeb"/>
        <w:spacing w:before="0" w:beforeAutospacing="0" w:after="0" w:afterAutospacing="0"/>
        <w:rPr>
          <w:rFonts w:ascii="Verdana" w:eastAsia="Verdana" w:hAnsi="Verdana" w:cs="Verdana"/>
          <w:bCs/>
          <w:sz w:val="18"/>
          <w:szCs w:val="18"/>
        </w:rPr>
      </w:pPr>
    </w:p>
    <w:p w14:paraId="2256CFD8" w14:textId="77777777" w:rsidR="00BB5D80" w:rsidRDefault="00BB5D80" w:rsidP="00BB5D80">
      <w:pPr>
        <w:pStyle w:val="NormalWeb"/>
        <w:spacing w:before="0" w:beforeAutospacing="0" w:after="0" w:afterAutospacing="0"/>
        <w:rPr>
          <w:rFonts w:ascii="Verdana" w:eastAsia="Verdana" w:hAnsi="Verdana" w:cs="Verdana"/>
          <w:b/>
          <w:bCs/>
          <w:sz w:val="18"/>
          <w:szCs w:val="18"/>
        </w:rPr>
      </w:pPr>
    </w:p>
    <w:p w14:paraId="2256CFD9" w14:textId="77777777" w:rsidR="00542A91"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sz w:val="18"/>
          <w:szCs w:val="18"/>
          <w:lang w:val="en-GB" w:bidi="en-GB"/>
        </w:rPr>
        <w:t>Re. 3.1</w:t>
      </w:r>
    </w:p>
    <w:p w14:paraId="2256CFDA" w14:textId="77777777" w:rsidR="00C4005A" w:rsidRDefault="12F7AE45" w:rsidP="12F7AE45">
      <w:pPr>
        <w:pStyle w:val="NormalWeb"/>
        <w:spacing w:before="0" w:beforeAutospacing="0" w:after="0" w:afterAutospacing="0"/>
        <w:rPr>
          <w:rFonts w:ascii="Verdana" w:eastAsia="Verdana" w:hAnsi="Verdana" w:cs="Verdana"/>
          <w:sz w:val="18"/>
          <w:szCs w:val="18"/>
          <w:u w:val="single"/>
        </w:rPr>
      </w:pPr>
      <w:r w:rsidRPr="12F7AE45">
        <w:rPr>
          <w:rFonts w:ascii="Verdana" w:eastAsia="Verdana" w:hAnsi="Verdana" w:cs="Verdana"/>
          <w:sz w:val="18"/>
          <w:szCs w:val="18"/>
          <w:lang w:val="en-GB" w:bidi="en-GB"/>
        </w:rPr>
        <w:t xml:space="preserve">Reference has been made to The Danish Association of Architectural Firms and FRI’s description of services for Building and Landscape 2018 in the agreement form, but there may be other descriptions of services that are relevant, such as The Danish Association of Architectural Firms and FRI’s Description of Services for Building and Landscape 2013, which is enclosed as </w:t>
      </w:r>
      <w:r w:rsidRPr="12F7AE45">
        <w:rPr>
          <w:rFonts w:ascii="Verdana" w:eastAsia="Verdana" w:hAnsi="Verdana" w:cs="Verdana"/>
          <w:sz w:val="18"/>
          <w:szCs w:val="18"/>
          <w:u w:val="single"/>
          <w:lang w:val="en-GB" w:bidi="en-GB"/>
        </w:rPr>
        <w:t>Annex 2</w:t>
      </w:r>
      <w:r w:rsidRPr="12F7AE45">
        <w:rPr>
          <w:rFonts w:ascii="Verdana" w:eastAsia="Verdana" w:hAnsi="Verdana" w:cs="Verdana"/>
          <w:sz w:val="18"/>
          <w:szCs w:val="18"/>
          <w:lang w:val="en-GB" w:bidi="en-GB"/>
        </w:rPr>
        <w:t>.</w:t>
      </w:r>
      <w:r w:rsidRPr="12F7AE45">
        <w:rPr>
          <w:rFonts w:ascii="Verdana" w:eastAsia="Verdana" w:hAnsi="Verdana" w:cs="Verdana"/>
          <w:sz w:val="18"/>
          <w:szCs w:val="18"/>
          <w:u w:val="single"/>
          <w:lang w:val="en-GB" w:bidi="en-GB"/>
        </w:rPr>
        <w:t xml:space="preserve"> </w:t>
      </w:r>
    </w:p>
    <w:p w14:paraId="2256CFDB" w14:textId="77777777" w:rsidR="00C4005A" w:rsidRDefault="00C4005A" w:rsidP="12F7AE45">
      <w:pPr>
        <w:pStyle w:val="NormalWeb"/>
        <w:spacing w:before="0" w:beforeAutospacing="0" w:after="0" w:afterAutospacing="0"/>
        <w:rPr>
          <w:rFonts w:ascii="Verdana" w:eastAsia="Verdana" w:hAnsi="Verdana" w:cs="Verdana"/>
          <w:sz w:val="18"/>
          <w:szCs w:val="18"/>
          <w:u w:val="single"/>
        </w:rPr>
      </w:pPr>
    </w:p>
    <w:p w14:paraId="2256CFDC" w14:textId="77777777" w:rsidR="00462A90" w:rsidRPr="00C4005A" w:rsidRDefault="002F1D17" w:rsidP="12F7AE45">
      <w:pPr>
        <w:pStyle w:val="NormalWeb"/>
        <w:spacing w:before="0" w:beforeAutospacing="0" w:after="0" w:afterAutospacing="0"/>
        <w:rPr>
          <w:rFonts w:ascii="Verdana" w:eastAsia="Verdana" w:hAnsi="Verdana" w:cs="Verdana"/>
          <w:b/>
          <w:bCs/>
          <w:sz w:val="18"/>
          <w:szCs w:val="18"/>
        </w:rPr>
      </w:pPr>
      <w:r w:rsidRPr="00C4005A">
        <w:rPr>
          <w:rFonts w:ascii="Verdana" w:eastAsia="Verdana" w:hAnsi="Verdana" w:cs="Verdana"/>
          <w:sz w:val="18"/>
          <w:szCs w:val="18"/>
          <w:lang w:val="en-GB" w:bidi="en-GB"/>
        </w:rPr>
        <w:t>If the parties have chosen not to use a description of services for the Agreement, it is very important that both Consultant and Client services are determined precisely and in detail in the Agreement, so that mutual expectations are in place.</w:t>
      </w:r>
    </w:p>
    <w:p w14:paraId="2256CFDD" w14:textId="77777777" w:rsidR="00B0392B"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 xml:space="preserve">It may also be relevant to refer to an ICT specification, cf. </w:t>
      </w:r>
      <w:r w:rsidRPr="12F7AE45">
        <w:rPr>
          <w:rFonts w:ascii="Verdana" w:eastAsia="Verdana" w:hAnsi="Verdana" w:cs="Verdana"/>
          <w:sz w:val="18"/>
          <w:szCs w:val="18"/>
          <w:u w:val="single"/>
          <w:lang w:val="en-GB" w:bidi="en-GB"/>
        </w:rPr>
        <w:t>Annex 3</w:t>
      </w:r>
      <w:r w:rsidRPr="12F7AE45">
        <w:rPr>
          <w:rFonts w:ascii="Verdana" w:eastAsia="Verdana" w:hAnsi="Verdana" w:cs="Verdana"/>
          <w:sz w:val="18"/>
          <w:szCs w:val="18"/>
          <w:lang w:val="en-GB" w:bidi="en-GB"/>
        </w:rPr>
        <w:t>.</w:t>
      </w:r>
    </w:p>
    <w:p w14:paraId="2256CFDE" w14:textId="4CB60596" w:rsidR="00462A90" w:rsidRDefault="5BD6DF36" w:rsidP="12F7AE45">
      <w:pPr>
        <w:pStyle w:val="NormalWeb"/>
        <w:rPr>
          <w:rFonts w:ascii="Verdana" w:eastAsia="Verdana" w:hAnsi="Verdana" w:cs="Verdana"/>
          <w:sz w:val="18"/>
          <w:szCs w:val="18"/>
        </w:rPr>
      </w:pPr>
      <w:r w:rsidRPr="5BD6DF36">
        <w:rPr>
          <w:rFonts w:ascii="Verdana" w:eastAsia="Verdana" w:hAnsi="Verdana" w:cs="Verdana"/>
          <w:b/>
          <w:sz w:val="18"/>
          <w:szCs w:val="18"/>
          <w:lang w:val="en-GB" w:bidi="en-GB"/>
        </w:rPr>
        <w:t>re. 3.2</w:t>
      </w:r>
      <w:r w:rsidR="72612917">
        <w:rPr>
          <w:lang w:val="en-GB" w:bidi="en-GB"/>
        </w:rPr>
        <w:br/>
      </w:r>
      <w:r w:rsidRPr="5BD6DF36">
        <w:rPr>
          <w:rFonts w:ascii="Verdana" w:eastAsia="Verdana" w:hAnsi="Verdana" w:cs="Verdana"/>
          <w:sz w:val="18"/>
          <w:szCs w:val="18"/>
          <w:lang w:val="en-GB" w:bidi="en-GB"/>
        </w:rPr>
        <w:t>The basis for the task must be stated here, i.e., the Client's materials that are a prerequisite for the task, such as drawing materials, feasibility studies, building information, already available project materials and requirement specifications/construction</w:t>
      </w:r>
      <w:r w:rsidR="72612917">
        <w:rPr>
          <w:lang w:val="en-GB" w:bidi="en-GB"/>
        </w:rPr>
        <w:t xml:space="preserve"> </w:t>
      </w:r>
      <w:r w:rsidR="00647096" w:rsidRPr="00647096">
        <w:rPr>
          <w:rFonts w:ascii="Verdana" w:eastAsia="Verdana" w:hAnsi="Verdana" w:cs="Verdana"/>
          <w:sz w:val="18"/>
          <w:szCs w:val="18"/>
          <w:lang w:val="en-GB" w:bidi="en-GB"/>
        </w:rPr>
        <w:t>programs, as well as other special requirements that apply to the Client's business and/or task.</w:t>
      </w:r>
    </w:p>
    <w:p w14:paraId="2256CFDF" w14:textId="77777777" w:rsidR="00462A90" w:rsidRPr="00D03AE0" w:rsidRDefault="00FC52D4" w:rsidP="12F7AE45">
      <w:pPr>
        <w:pStyle w:val="NormalWeb"/>
        <w:rPr>
          <w:rFonts w:ascii="Verdana" w:eastAsia="Verdana" w:hAnsi="Verdana" w:cs="Verdana"/>
          <w:sz w:val="18"/>
          <w:szCs w:val="18"/>
        </w:rPr>
      </w:pPr>
      <w:r>
        <w:rPr>
          <w:rFonts w:ascii="Verdana" w:eastAsia="Verdana" w:hAnsi="Verdana" w:cs="Verdana"/>
          <w:sz w:val="18"/>
          <w:szCs w:val="18"/>
          <w:lang w:val="en-GB" w:bidi="en-GB"/>
        </w:rPr>
        <w:t>The basis for the project must be stated unequivocally, including the Client's prerequisites regarding schedule, budget, risk assessment and so on.</w:t>
      </w:r>
    </w:p>
    <w:p w14:paraId="2256CFE0" w14:textId="52570DB2"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If the Client needs to provide further materials, this is indicated in paragraph 5.</w:t>
      </w:r>
    </w:p>
    <w:p w14:paraId="2256CFE1" w14:textId="77777777" w:rsidR="72612917"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3.3</w:t>
      </w:r>
      <w:r w:rsidR="5BD6DF36">
        <w:rPr>
          <w:lang w:val="en-GB" w:bidi="en-GB"/>
        </w:rPr>
        <w:br/>
      </w:r>
      <w:r w:rsidRPr="12F7AE45">
        <w:rPr>
          <w:rFonts w:ascii="Verdana" w:eastAsia="Verdana" w:hAnsi="Verdana" w:cs="Verdana"/>
          <w:sz w:val="18"/>
          <w:szCs w:val="18"/>
          <w:lang w:val="en-GB" w:bidi="en-GB"/>
        </w:rPr>
        <w:t xml:space="preserve">The Consultant's authority is specified here if it deviates from ABR 18, Section 26. </w:t>
      </w:r>
    </w:p>
    <w:p w14:paraId="2256CFE2" w14:textId="77777777" w:rsidR="00E57FF5" w:rsidRDefault="12F7AE45" w:rsidP="12F7AE45">
      <w:pPr>
        <w:pStyle w:val="NormalWeb"/>
        <w:spacing w:before="0" w:beforeAutospacing="0" w:after="0" w:afterAutospacing="0"/>
        <w:rPr>
          <w:rFonts w:ascii="Verdana" w:eastAsia="Verdana" w:hAnsi="Verdana" w:cs="Verdana"/>
          <w:b/>
          <w:bCs/>
          <w:sz w:val="18"/>
          <w:szCs w:val="18"/>
        </w:rPr>
      </w:pPr>
      <w:r w:rsidRPr="12F7AE45">
        <w:rPr>
          <w:rFonts w:ascii="Verdana" w:eastAsia="Verdana" w:hAnsi="Verdana" w:cs="Verdana"/>
          <w:b/>
          <w:sz w:val="18"/>
          <w:szCs w:val="18"/>
          <w:lang w:val="en-GB" w:bidi="en-GB"/>
        </w:rPr>
        <w:t>re.  4</w:t>
      </w:r>
    </w:p>
    <w:p w14:paraId="2256CFE3" w14:textId="77777777" w:rsidR="00FC52D4" w:rsidRDefault="00FC52D4" w:rsidP="12F7AE45">
      <w:pPr>
        <w:pStyle w:val="NormalWeb"/>
        <w:spacing w:before="0" w:beforeAutospacing="0" w:after="0" w:afterAutospacing="0"/>
        <w:rPr>
          <w:rFonts w:ascii="Verdana" w:eastAsia="Verdana" w:hAnsi="Verdana" w:cs="Verdana"/>
          <w:sz w:val="18"/>
          <w:szCs w:val="18"/>
        </w:rPr>
      </w:pPr>
      <w:r w:rsidRPr="00FC52D4">
        <w:rPr>
          <w:rFonts w:ascii="Verdana" w:eastAsia="Verdana" w:hAnsi="Verdana" w:cs="Verdana"/>
          <w:sz w:val="18"/>
          <w:szCs w:val="18"/>
          <w:lang w:val="en-GB" w:bidi="en-GB"/>
        </w:rPr>
        <w:t>If the Agreement includes a tender, the consultancy phase and possibly the form of tendering that should form the basis of the tender must be specified.</w:t>
      </w:r>
    </w:p>
    <w:p w14:paraId="2256CFE4" w14:textId="77777777" w:rsidR="00FC52D4" w:rsidRDefault="00EC3930" w:rsidP="12F7AE45">
      <w:pPr>
        <w:pStyle w:val="NormalWeb"/>
        <w:spacing w:before="0" w:beforeAutospacing="0" w:after="0" w:afterAutospacing="0"/>
        <w:rPr>
          <w:rFonts w:ascii="Verdana" w:eastAsia="Verdana" w:hAnsi="Verdana" w:cs="Verdana"/>
          <w:sz w:val="18"/>
          <w:szCs w:val="18"/>
        </w:rPr>
      </w:pPr>
      <w:r w:rsidRPr="00EC3930">
        <w:rPr>
          <w:rFonts w:ascii="Verdana" w:eastAsia="Verdana" w:hAnsi="Verdana" w:cs="Verdana"/>
          <w:sz w:val="18"/>
          <w:szCs w:val="18"/>
          <w:lang w:val="en-GB" w:bidi="en-GB"/>
        </w:rPr>
        <w:t>ABR 18 presupposes that the services are specified so that there is clarity as to which services are needed in the specific case, i.e., that standard services may be deselected and special services may be selected.</w:t>
      </w:r>
      <w:r w:rsidRPr="00EC3930">
        <w:rPr>
          <w:lang w:val="en-GB" w:bidi="en-GB"/>
        </w:rPr>
        <w:t xml:space="preserve"> </w:t>
      </w:r>
      <w:r w:rsidRPr="00EC3930">
        <w:rPr>
          <w:rFonts w:ascii="Verdana" w:eastAsia="Verdana" w:hAnsi="Verdana" w:cs="Verdana"/>
          <w:sz w:val="18"/>
          <w:szCs w:val="18"/>
          <w:lang w:val="en-GB" w:bidi="en-GB"/>
        </w:rPr>
        <w:t xml:space="preserve">The project-specific description of services may, optionally, be enclosed as </w:t>
      </w:r>
      <w:r w:rsidRPr="00113A0E">
        <w:rPr>
          <w:rFonts w:ascii="Verdana" w:eastAsia="Verdana" w:hAnsi="Verdana" w:cs="Verdana"/>
          <w:sz w:val="18"/>
          <w:szCs w:val="18"/>
          <w:u w:val="single"/>
          <w:lang w:val="en-GB" w:bidi="en-GB"/>
        </w:rPr>
        <w:t>Annex 4.</w:t>
      </w:r>
    </w:p>
    <w:p w14:paraId="2256CFE5" w14:textId="77777777" w:rsidR="002C25B7" w:rsidRPr="00E57FF5" w:rsidRDefault="002C25B7" w:rsidP="00BB5D80">
      <w:pPr>
        <w:pStyle w:val="NormalWeb"/>
        <w:spacing w:before="0" w:beforeAutospacing="0" w:after="0" w:afterAutospacing="0"/>
        <w:rPr>
          <w:rFonts w:ascii="Verdana" w:eastAsia="Verdana" w:hAnsi="Verdana" w:cs="Verdana"/>
          <w:bCs/>
          <w:sz w:val="18"/>
          <w:szCs w:val="18"/>
        </w:rPr>
      </w:pPr>
    </w:p>
    <w:p w14:paraId="2256CFE6" w14:textId="77777777" w:rsidR="002C25B7" w:rsidRPr="00EC3930" w:rsidRDefault="12F7AE45" w:rsidP="12F7AE45">
      <w:pPr>
        <w:pStyle w:val="NormalWeb"/>
        <w:spacing w:before="0" w:beforeAutospacing="0" w:after="0" w:afterAutospacing="0"/>
        <w:rPr>
          <w:rFonts w:ascii="Verdana" w:eastAsia="Verdana" w:hAnsi="Verdana" w:cs="Verdana"/>
          <w:b/>
          <w:sz w:val="18"/>
          <w:szCs w:val="18"/>
        </w:rPr>
      </w:pPr>
      <w:r w:rsidRPr="12F7AE45">
        <w:rPr>
          <w:rFonts w:ascii="Verdana" w:eastAsia="Verdana" w:hAnsi="Verdana" w:cs="Verdana"/>
          <w:b/>
          <w:sz w:val="18"/>
          <w:szCs w:val="18"/>
          <w:lang w:val="en-GB" w:bidi="en-GB"/>
        </w:rPr>
        <w:t>re. 4.1, 4.2 and 4.3</w:t>
      </w:r>
    </w:p>
    <w:p w14:paraId="2256CFE7" w14:textId="77777777" w:rsidR="00F60A54"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 xml:space="preserve">The scope of the services that the Consultant must provide is stated here, cf. ABR 18, Section 4 (2) (a). In order to arrive at matching expectations, it is important to clarify the scope of, e.g., building management and professional supervision, cf. ABR 18, Sections 24 and 25. </w:t>
      </w:r>
    </w:p>
    <w:p w14:paraId="2256CFE8" w14:textId="77777777" w:rsidR="00F60A54" w:rsidRDefault="00F60A54" w:rsidP="12F7AE45">
      <w:pPr>
        <w:pStyle w:val="NormalWeb"/>
        <w:spacing w:before="0" w:beforeAutospacing="0" w:after="0" w:afterAutospacing="0"/>
        <w:rPr>
          <w:rFonts w:ascii="Verdana" w:eastAsia="Verdana" w:hAnsi="Verdana" w:cs="Verdana"/>
          <w:sz w:val="18"/>
          <w:szCs w:val="18"/>
        </w:rPr>
      </w:pPr>
    </w:p>
    <w:p w14:paraId="2256CFE9" w14:textId="77777777" w:rsidR="00462A9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 xml:space="preserve">If there is a requirement for extra services mentioned in the Danish Association of Architectural Firms and FRI’s Description of Services for Building and Landscape 2018 under Chapter 9, these must be clarified so that the Parties </w:t>
      </w:r>
      <w:proofErr w:type="gramStart"/>
      <w:r w:rsidRPr="12F7AE45">
        <w:rPr>
          <w:rFonts w:ascii="Verdana" w:eastAsia="Verdana" w:hAnsi="Verdana" w:cs="Verdana"/>
          <w:sz w:val="18"/>
          <w:szCs w:val="18"/>
          <w:lang w:val="en-GB" w:bidi="en-GB"/>
        </w:rPr>
        <w:t>are in agreement</w:t>
      </w:r>
      <w:proofErr w:type="gramEnd"/>
      <w:r w:rsidRPr="12F7AE45">
        <w:rPr>
          <w:rFonts w:ascii="Verdana" w:eastAsia="Verdana" w:hAnsi="Verdana" w:cs="Verdana"/>
          <w:sz w:val="18"/>
          <w:szCs w:val="18"/>
          <w:lang w:val="en-GB" w:bidi="en-GB"/>
        </w:rPr>
        <w:t xml:space="preserve"> on what is to be delivered. Otherwise, the Consultant is entitled to unilaterally determine the scope of the services in relation to the tasks described in the Description of Services for Building and Landscape 2018, </w:t>
      </w:r>
      <w:proofErr w:type="spellStart"/>
      <w:r w:rsidRPr="12F7AE45">
        <w:rPr>
          <w:rFonts w:ascii="Verdana" w:eastAsia="Verdana" w:hAnsi="Verdana" w:cs="Verdana"/>
          <w:sz w:val="18"/>
          <w:szCs w:val="18"/>
          <w:lang w:val="en-GB" w:bidi="en-GB"/>
        </w:rPr>
        <w:t>ch.</w:t>
      </w:r>
      <w:proofErr w:type="spellEnd"/>
      <w:r w:rsidRPr="12F7AE45">
        <w:rPr>
          <w:rFonts w:ascii="Verdana" w:eastAsia="Verdana" w:hAnsi="Verdana" w:cs="Verdana"/>
          <w:sz w:val="18"/>
          <w:szCs w:val="18"/>
          <w:lang w:val="en-GB" w:bidi="en-GB"/>
        </w:rPr>
        <w:t xml:space="preserve"> 9. </w:t>
      </w:r>
    </w:p>
    <w:p w14:paraId="2256CFEA" w14:textId="24BD2271" w:rsidR="00E57FF5"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 xml:space="preserve">If the Consultant is obliged to use concepts, e.g., document templates and financial management tools, as well as various instructions, etc., made available by the Client, these must be specified in the agreement. </w:t>
      </w:r>
    </w:p>
    <w:p w14:paraId="2256CFEB" w14:textId="77777777"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If the Consultant’s assistance is remunerated according to two or more different principles for fee calculation, cf. paragraph 8, the services that are remunerated according to the same principles shall be stated collectively.</w:t>
      </w:r>
    </w:p>
    <w:p w14:paraId="2256CFEC" w14:textId="77777777" w:rsidR="00EC3930" w:rsidRDefault="00EC3930" w:rsidP="12F7AE45">
      <w:pPr>
        <w:pStyle w:val="NormalWeb"/>
        <w:rPr>
          <w:rFonts w:ascii="Verdana" w:eastAsia="Verdana" w:hAnsi="Verdana" w:cs="Verdana"/>
          <w:sz w:val="18"/>
          <w:szCs w:val="18"/>
        </w:rPr>
      </w:pPr>
      <w:r w:rsidRPr="00EC3930">
        <w:rPr>
          <w:rFonts w:ascii="Verdana" w:eastAsia="Verdana" w:hAnsi="Verdana" w:cs="Verdana"/>
          <w:b/>
          <w:sz w:val="18"/>
          <w:szCs w:val="18"/>
          <w:lang w:val="en-GB" w:bidi="en-GB"/>
        </w:rPr>
        <w:t xml:space="preserve">re. 4.4 </w:t>
      </w:r>
      <w:r w:rsidRPr="00EC3930">
        <w:rPr>
          <w:rFonts w:ascii="Verdana" w:eastAsia="Verdana" w:hAnsi="Verdana" w:cs="Verdana"/>
          <w:sz w:val="18"/>
          <w:szCs w:val="18"/>
          <w:lang w:val="en-GB" w:bidi="en-GB"/>
        </w:rPr>
        <w:t xml:space="preserve">Under this point, the scope of the functional tender must be determined. </w:t>
      </w:r>
    </w:p>
    <w:p w14:paraId="2256CFED" w14:textId="7A3D17B9" w:rsidR="00EC3930" w:rsidRDefault="00EC3930" w:rsidP="12F7AE45">
      <w:pPr>
        <w:pStyle w:val="NormalWeb"/>
        <w:rPr>
          <w:rFonts w:ascii="Verdana" w:eastAsia="Verdana" w:hAnsi="Verdana" w:cs="Verdana"/>
          <w:sz w:val="18"/>
          <w:szCs w:val="18"/>
        </w:rPr>
      </w:pPr>
      <w:r w:rsidRPr="00EC3930">
        <w:rPr>
          <w:rFonts w:ascii="Verdana" w:eastAsia="Verdana" w:hAnsi="Verdana" w:cs="Verdana"/>
          <w:b/>
          <w:sz w:val="18"/>
          <w:szCs w:val="18"/>
          <w:lang w:val="en-GB" w:bidi="en-GB"/>
        </w:rPr>
        <w:lastRenderedPageBreak/>
        <w:t xml:space="preserve">re. 4.5 </w:t>
      </w:r>
      <w:r w:rsidRPr="00EC3930">
        <w:rPr>
          <w:rFonts w:ascii="Verdana" w:eastAsia="Verdana" w:hAnsi="Verdana" w:cs="Verdana"/>
          <w:sz w:val="18"/>
          <w:szCs w:val="18"/>
          <w:lang w:val="en-GB" w:bidi="en-GB"/>
        </w:rPr>
        <w:t xml:space="preserve">If the Client </w:t>
      </w:r>
      <w:proofErr w:type="gramStart"/>
      <w:r w:rsidRPr="00EC3930">
        <w:rPr>
          <w:rFonts w:ascii="Verdana" w:eastAsia="Verdana" w:hAnsi="Verdana" w:cs="Verdana"/>
          <w:sz w:val="18"/>
          <w:szCs w:val="18"/>
          <w:lang w:val="en-GB" w:bidi="en-GB"/>
        </w:rPr>
        <w:t>is able to</w:t>
      </w:r>
      <w:proofErr w:type="gramEnd"/>
      <w:r w:rsidRPr="00EC3930">
        <w:rPr>
          <w:rFonts w:ascii="Verdana" w:eastAsia="Verdana" w:hAnsi="Verdana" w:cs="Verdana"/>
          <w:sz w:val="18"/>
          <w:szCs w:val="18"/>
          <w:lang w:val="en-GB" w:bidi="en-GB"/>
        </w:rPr>
        <w:t xml:space="preserve"> predict, but has yet to clarify, a need for an extension</w:t>
      </w:r>
      <w:r w:rsidR="008134FA">
        <w:rPr>
          <w:rFonts w:ascii="Verdana" w:eastAsia="Verdana" w:hAnsi="Verdana" w:cs="Verdana"/>
          <w:sz w:val="18"/>
          <w:szCs w:val="18"/>
          <w:lang w:val="en-GB" w:bidi="en-GB"/>
        </w:rPr>
        <w:t>/reduction</w:t>
      </w:r>
      <w:r w:rsidRPr="00EC3930">
        <w:rPr>
          <w:rFonts w:ascii="Verdana" w:eastAsia="Verdana" w:hAnsi="Verdana" w:cs="Verdana"/>
          <w:sz w:val="18"/>
          <w:szCs w:val="18"/>
          <w:lang w:val="en-GB" w:bidi="en-GB"/>
        </w:rPr>
        <w:t xml:space="preserve"> of the Consultant’s assistance, a provision may be included regarding a possible extension of the assistance in the form of options. In the provision it is also stated whether the expansion shall happen by annotation to this Agreement or through another written statement, e.g. in the form of an addendum, including a description of how the fee is determined.</w:t>
      </w:r>
    </w:p>
    <w:p w14:paraId="2256CFEE" w14:textId="22B49850" w:rsidR="009C43FA"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5</w:t>
      </w:r>
      <w:r w:rsidR="5BD6DF36">
        <w:rPr>
          <w:lang w:val="en-GB" w:bidi="en-GB"/>
        </w:rPr>
        <w:br/>
      </w:r>
      <w:r w:rsidR="00AF6C5B">
        <w:rPr>
          <w:rFonts w:ascii="Verdana" w:eastAsia="Verdana" w:hAnsi="Verdana" w:cs="Verdana"/>
          <w:sz w:val="18"/>
          <w:szCs w:val="18"/>
          <w:lang w:val="en-GB" w:bidi="en-GB"/>
        </w:rPr>
        <w:t>As the basis for the Client's deliveries, the Description of Services for Building and Landscape 2018, paragraph 1.1.8 and associated processes are reviewed for the purpose of clarifying the Client's services, as it may be necessary to provide specific Client services.</w:t>
      </w:r>
      <w:r w:rsidR="5BD6DF36">
        <w:rPr>
          <w:lang w:val="en-GB" w:bidi="en-GB"/>
        </w:rPr>
        <w:t xml:space="preserve"> </w:t>
      </w:r>
      <w:r w:rsidRPr="12F7AE45">
        <w:rPr>
          <w:rFonts w:ascii="Verdana" w:eastAsia="Verdana" w:hAnsi="Verdana" w:cs="Verdana"/>
          <w:sz w:val="18"/>
          <w:szCs w:val="18"/>
          <w:lang w:val="en-GB" w:bidi="en-GB"/>
        </w:rPr>
        <w:t xml:space="preserve">Likewise, contact with neighbours, authorities and users – including applicable deadlines – may also require special agreement. </w:t>
      </w:r>
    </w:p>
    <w:p w14:paraId="2256CFEF" w14:textId="4E967BA2" w:rsidR="00462A90" w:rsidRPr="00D03AE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6</w:t>
      </w:r>
      <w:r w:rsidR="5BD6DF36">
        <w:rPr>
          <w:lang w:val="en-GB" w:bidi="en-GB"/>
        </w:rPr>
        <w:br/>
      </w:r>
      <w:r w:rsidRPr="12F7AE45">
        <w:rPr>
          <w:rFonts w:ascii="Verdana" w:eastAsia="Verdana" w:hAnsi="Verdana" w:cs="Verdana"/>
          <w:sz w:val="18"/>
          <w:szCs w:val="18"/>
          <w:lang w:val="en-GB" w:bidi="en-GB"/>
        </w:rPr>
        <w:t>Agreed deadlines for the Consultant's services and for the Client's submission of materials, including decisions that are prerequisite for this, are stated here. The overall time schedule and the deadline for the preparation of the service plan, cf. ABR 18, Section 4 (2) (g) and Section 12 and the Client's deadlines for making decisions, cf. ABR 18, Section 4 (3), regulatory approval, etc. must therefore be stated here. If daily penalty has been agreed upon, cf. ABR 18, Section 39, the size and possible interim deadlines must be stated under this point.</w:t>
      </w:r>
      <w:bookmarkStart w:id="9" w:name="_Hlk521931672"/>
      <w:r w:rsidR="0022727F">
        <w:rPr>
          <w:rFonts w:ascii="Verdana" w:eastAsia="Verdana" w:hAnsi="Verdana" w:cs="Verdana"/>
          <w:sz w:val="18"/>
          <w:szCs w:val="18"/>
          <w:lang w:val="en-GB" w:bidi="en-GB"/>
        </w:rPr>
        <w:t xml:space="preserve"> It is recommended that the Parties' deadlines be incorporated into a shared annex that is regularly updated.   </w:t>
      </w:r>
    </w:p>
    <w:bookmarkEnd w:id="9"/>
    <w:p w14:paraId="2256CFF0" w14:textId="77777777" w:rsidR="004A4F5C" w:rsidRDefault="12F7AE45" w:rsidP="004A4F5C">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7</w:t>
      </w:r>
      <w:r w:rsidR="5BD6DF36">
        <w:rPr>
          <w:lang w:val="en-GB" w:bidi="en-GB"/>
        </w:rPr>
        <w:br/>
      </w:r>
      <w:r w:rsidR="004A4F5C">
        <w:rPr>
          <w:rFonts w:ascii="Verdana" w:eastAsia="Verdana" w:hAnsi="Verdana" w:cs="Verdana"/>
          <w:sz w:val="18"/>
          <w:szCs w:val="18"/>
          <w:lang w:val="en-GB" w:bidi="en-GB"/>
        </w:rPr>
        <w:t>The Agreement must contain information on both the "financial framework" and the "overall financial framework" when it comes to building and construction projects.</w:t>
      </w:r>
    </w:p>
    <w:p w14:paraId="2256CFF1" w14:textId="5D74FA5D"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The difference is that the financial framework contains costs that govern the Consultant's project planning, i.e., the framework set by the Client for the total expenses in connection with the Consultant's execution of the task including </w:t>
      </w:r>
      <w:r w:rsidR="00815DDB">
        <w:rPr>
          <w:rFonts w:ascii="Verdana" w:eastAsia="Verdana" w:hAnsi="Verdana" w:cs="Verdana"/>
          <w:sz w:val="18"/>
          <w:szCs w:val="18"/>
          <w:lang w:val="en-GB" w:bidi="en-GB"/>
        </w:rPr>
        <w:t xml:space="preserve">remuneration, tax, and service </w:t>
      </w:r>
      <w:r>
        <w:rPr>
          <w:rFonts w:ascii="Verdana" w:eastAsia="Verdana" w:hAnsi="Verdana" w:cs="Verdana"/>
          <w:sz w:val="18"/>
          <w:szCs w:val="18"/>
          <w:lang w:val="en-GB" w:bidi="en-GB"/>
        </w:rPr>
        <w:t xml:space="preserve">fees. </w:t>
      </w:r>
    </w:p>
    <w:p w14:paraId="2256CFF2"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In the case of project planning of building and construction projects, the </w:t>
      </w:r>
      <w:r>
        <w:rPr>
          <w:rFonts w:ascii="Verdana" w:eastAsia="Verdana" w:hAnsi="Verdana" w:cs="Verdana"/>
          <w:sz w:val="18"/>
          <w:szCs w:val="18"/>
          <w:u w:val="single"/>
          <w:lang w:val="en-GB" w:bidi="en-GB"/>
        </w:rPr>
        <w:t>overall</w:t>
      </w:r>
      <w:r>
        <w:rPr>
          <w:rFonts w:ascii="Verdana" w:eastAsia="Verdana" w:hAnsi="Verdana" w:cs="Verdana"/>
          <w:sz w:val="18"/>
          <w:szCs w:val="18"/>
          <w:lang w:val="en-GB" w:bidi="en-GB"/>
        </w:rPr>
        <w:t xml:space="preserve"> financial framework, cf. ABR 18, Section 4 (5), must also be stated. In addition to project planning and execution, the overall financial framework includes other consultancy services that the Consultant does not have direct influence on, e.g., costs for land acquisition and development. </w:t>
      </w:r>
    </w:p>
    <w:p w14:paraId="2256CFF3" w14:textId="77777777" w:rsidR="004A4F5C" w:rsidRDefault="004A4F5C" w:rsidP="004A4F5C">
      <w:pPr>
        <w:pStyle w:val="NormalWeb"/>
        <w:rPr>
          <w:rFonts w:ascii="Verdana" w:eastAsia="Verdana" w:hAnsi="Verdana" w:cs="Verdana"/>
          <w:sz w:val="18"/>
          <w:szCs w:val="18"/>
        </w:rPr>
      </w:pPr>
      <w:r w:rsidRPr="12F7AE45">
        <w:rPr>
          <w:rFonts w:ascii="Verdana" w:eastAsia="Verdana" w:hAnsi="Verdana" w:cs="Verdana"/>
          <w:sz w:val="18"/>
          <w:szCs w:val="18"/>
          <w:lang w:val="en-GB" w:bidi="en-GB"/>
        </w:rPr>
        <w:t>ABR 18, Section 46 contains a re-projection clause, which may entail that the Consultant, if he is to carry out budgeting, must reproject, free of charge, if the contractor's offer exceeds the latest updated and approved budget. It is a prerequisite</w:t>
      </w:r>
      <w:r w:rsidRPr="00670E92">
        <w:rPr>
          <w:lang w:val="en-GB" w:bidi="en-GB"/>
        </w:rPr>
        <w:t xml:space="preserve"> </w:t>
      </w:r>
      <w:r w:rsidRPr="00670E92">
        <w:rPr>
          <w:rFonts w:ascii="Verdana" w:eastAsia="Verdana" w:hAnsi="Verdana" w:cs="Verdana"/>
          <w:sz w:val="18"/>
          <w:szCs w:val="18"/>
          <w:lang w:val="en-GB" w:bidi="en-GB"/>
        </w:rPr>
        <w:t xml:space="preserve">for being able to assess whether the Consultant ought to have assumed the exceedance that the Parties have aimed at a fair and realistic budget. </w:t>
      </w:r>
    </w:p>
    <w:p w14:paraId="2256CFF4"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The budgetary assumptions must, therefore, be stated including relevant indices for building costs, the agreed upon level of quality and the risks that have been calculated in the financial framework. For each estimate, information on which items the estimate includes, how they have been calculated and the intended form of construction must be stated. </w:t>
      </w:r>
    </w:p>
    <w:p w14:paraId="2256CFF5"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To the extent that the contractor is not entitled to indexing the contract price (or possibly is subject to a fixed price period), it should be taken into account that the contractor will, in connection with his tender offer, include an additional price corresponding to the lack of indexing. Usually, the contractor's additional price corresponds to the expected indexation from the tender until the central point of the execution of the construction, where </w:t>
      </w:r>
      <w:proofErr w:type="gramStart"/>
      <w:r>
        <w:rPr>
          <w:rFonts w:ascii="Verdana" w:eastAsia="Verdana" w:hAnsi="Verdana" w:cs="Verdana"/>
          <w:sz w:val="18"/>
          <w:szCs w:val="18"/>
          <w:lang w:val="en-GB" w:bidi="en-GB"/>
        </w:rPr>
        <w:t>the majority of</w:t>
      </w:r>
      <w:proofErr w:type="gramEnd"/>
      <w:r>
        <w:rPr>
          <w:rFonts w:ascii="Verdana" w:eastAsia="Verdana" w:hAnsi="Verdana" w:cs="Verdana"/>
          <w:sz w:val="18"/>
          <w:szCs w:val="18"/>
          <w:lang w:val="en-GB" w:bidi="en-GB"/>
        </w:rPr>
        <w:t xml:space="preserve"> the contractor's expenses are incurred. In construction cases where the Client's financial framework is continuously projected according to an index relevant to the building case, it may thus occur that the contractor's fixed price offer exceeds the financial framework on the day of the tender, but that this excess has been offset at the time when the payment to the contractor must be made. </w:t>
      </w:r>
    </w:p>
    <w:p w14:paraId="2256CFF6"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In construction cases where the Client's financial framework follows a (partially) politically-determined index, it should be clarified whether the Consultant – on a purely budgetary level – must operate according to the expected indexation of the financial framework or, instead, according to the expected price development of an index relevant to the building case. The Consultant should not assume the budgetary risk of exceeding a financial framework not indexed by an index relevant to the building case. </w:t>
      </w:r>
    </w:p>
    <w:p w14:paraId="2256CFF7"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Prior to the start of the project planning, the index according to which the Consultant must manage their budget must be determined, and whether, in connection with the tendering procedure, a smaller excess corresponding to the expected indexation from the tendering procedure until the central point of the exe</w:t>
      </w:r>
      <w:r>
        <w:rPr>
          <w:rFonts w:ascii="Verdana" w:eastAsia="Verdana" w:hAnsi="Verdana" w:cs="Verdana"/>
          <w:sz w:val="18"/>
          <w:szCs w:val="18"/>
          <w:lang w:val="en-GB" w:bidi="en-GB"/>
        </w:rPr>
        <w:lastRenderedPageBreak/>
        <w:t>cution shall be accepted. The latter is only relevant if the contractor is wholly or partly subject to fixed price terms.</w:t>
      </w:r>
    </w:p>
    <w:p w14:paraId="2256CFF8" w14:textId="77777777" w:rsidR="004A4F5C" w:rsidRDefault="004A4F5C" w:rsidP="004A4F5C">
      <w:pPr>
        <w:pStyle w:val="NormalWeb"/>
        <w:rPr>
          <w:rFonts w:ascii="Verdana" w:eastAsia="Verdana" w:hAnsi="Verdana" w:cs="Verdana"/>
          <w:sz w:val="18"/>
          <w:szCs w:val="18"/>
        </w:rPr>
      </w:pPr>
    </w:p>
    <w:p w14:paraId="2256CFF9" w14:textId="77777777" w:rsidR="004A4F5C" w:rsidRDefault="004A4F5C" w:rsidP="004A4F5C">
      <w:pPr>
        <w:pStyle w:val="NormalWeb"/>
        <w:rPr>
          <w:rFonts w:ascii="Verdana" w:eastAsia="Verdana" w:hAnsi="Verdana" w:cs="Verdana"/>
          <w:sz w:val="18"/>
          <w:szCs w:val="18"/>
        </w:rPr>
      </w:pPr>
    </w:p>
    <w:p w14:paraId="2256CFFA" w14:textId="77777777" w:rsidR="004A4F5C" w:rsidRDefault="004A4F5C"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The problems arising from indexing may be illustrated as follows: </w:t>
      </w:r>
    </w:p>
    <w:p w14:paraId="2256CFFB" w14:textId="77777777" w:rsidR="004A4F5C" w:rsidRDefault="004A4F5C" w:rsidP="004A4F5C">
      <w:pPr>
        <w:pStyle w:val="NormalWeb"/>
        <w:rPr>
          <w:rFonts w:ascii="Verdana" w:eastAsia="Verdana" w:hAnsi="Verdana" w:cs="Verdana"/>
          <w:sz w:val="18"/>
          <w:szCs w:val="18"/>
        </w:rPr>
      </w:pPr>
      <w:r>
        <w:rPr>
          <w:noProof/>
          <w:lang w:eastAsia="en-US"/>
        </w:rPr>
        <w:drawing>
          <wp:inline distT="0" distB="0" distL="0" distR="0" wp14:anchorId="2256D01C" wp14:editId="68516BB6">
            <wp:extent cx="5363845" cy="3128645"/>
            <wp:effectExtent l="0" t="0" r="825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12F7AE45">
        <w:rPr>
          <w:rFonts w:ascii="Verdana" w:eastAsia="Verdana" w:hAnsi="Verdana" w:cs="Verdana"/>
          <w:sz w:val="18"/>
          <w:szCs w:val="18"/>
          <w:lang w:val="en-GB" w:bidi="en-GB"/>
        </w:rPr>
        <w:t xml:space="preserve"> </w:t>
      </w:r>
    </w:p>
    <w:p w14:paraId="2256CFFC" w14:textId="77777777" w:rsidR="00462A90" w:rsidRPr="00D03AE0" w:rsidRDefault="00561393" w:rsidP="004A4F5C">
      <w:pPr>
        <w:pStyle w:val="NormalWeb"/>
        <w:rPr>
          <w:rFonts w:ascii="Verdana" w:eastAsia="Verdana" w:hAnsi="Verdana" w:cs="Verdana"/>
          <w:sz w:val="18"/>
          <w:szCs w:val="18"/>
        </w:rPr>
      </w:pPr>
      <w:r>
        <w:rPr>
          <w:rFonts w:ascii="Verdana" w:eastAsia="Verdana" w:hAnsi="Verdana" w:cs="Verdana"/>
          <w:sz w:val="18"/>
          <w:szCs w:val="18"/>
          <w:lang w:val="en-GB" w:bidi="en-GB"/>
        </w:rPr>
        <w:t xml:space="preserve">The Agreement may stipulate a variation limit for the estimate and expenses for unforeseen costs. The Parties should prepare a joint annex confirming the content and prerequisites of the financial framework and the overall financial framework, which is updated on an ongoing basis.  </w:t>
      </w:r>
      <w:bookmarkStart w:id="10" w:name="_Hlk521931935"/>
    </w:p>
    <w:bookmarkEnd w:id="10"/>
    <w:p w14:paraId="2256CFFD" w14:textId="77777777" w:rsidR="008413F9"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8</w:t>
      </w:r>
      <w:r w:rsidR="5BD6DF36">
        <w:rPr>
          <w:lang w:val="en-GB" w:bidi="en-GB"/>
        </w:rPr>
        <w:br/>
      </w:r>
      <w:r w:rsidRPr="12F7AE45">
        <w:rPr>
          <w:rFonts w:ascii="Verdana" w:eastAsia="Verdana" w:hAnsi="Verdana" w:cs="Verdana"/>
          <w:sz w:val="18"/>
          <w:szCs w:val="18"/>
          <w:lang w:val="en-GB" w:bidi="en-GB"/>
        </w:rPr>
        <w:t>The Parties agree specifically on which fee structure should be used, possibly a combination of several structures. It should be specified which services are covered by which types of fees, e.g., that a fixed fee has been agreed for the main service and that additional works and/or supervision is paid on account. Regardless of the type of fee, changes to the scope of the service entail adjustment of the fee.</w:t>
      </w:r>
    </w:p>
    <w:p w14:paraId="2256CFFE" w14:textId="77777777" w:rsidR="0022495E" w:rsidRDefault="0022495E" w:rsidP="12F7AE45">
      <w:pPr>
        <w:pStyle w:val="NormalWeb"/>
        <w:rPr>
          <w:rFonts w:ascii="Verdana" w:eastAsia="Verdana" w:hAnsi="Verdana" w:cs="Verdana"/>
          <w:sz w:val="18"/>
          <w:szCs w:val="18"/>
        </w:rPr>
      </w:pPr>
      <w:r>
        <w:rPr>
          <w:rFonts w:ascii="Verdana" w:eastAsia="Verdana" w:hAnsi="Verdana" w:cs="Verdana"/>
          <w:sz w:val="18"/>
          <w:szCs w:val="18"/>
          <w:lang w:val="en-GB" w:bidi="en-GB"/>
        </w:rPr>
        <w:t>The types of fees may, for example, be:</w:t>
      </w:r>
    </w:p>
    <w:p w14:paraId="2256CFFF" w14:textId="77777777" w:rsidR="00734BCB" w:rsidRDefault="12F7AE45" w:rsidP="12F7AE45">
      <w:pPr>
        <w:pStyle w:val="NormalWeb"/>
        <w:numPr>
          <w:ilvl w:val="0"/>
          <w:numId w:val="12"/>
        </w:numPr>
        <w:rPr>
          <w:rFonts w:ascii="Verdana" w:eastAsia="Verdana" w:hAnsi="Verdana" w:cs="Verdana"/>
          <w:sz w:val="18"/>
          <w:szCs w:val="18"/>
        </w:rPr>
      </w:pPr>
      <w:r w:rsidRPr="12F7AE45">
        <w:rPr>
          <w:rFonts w:ascii="Verdana" w:eastAsia="Verdana" w:hAnsi="Verdana" w:cs="Verdana"/>
          <w:sz w:val="18"/>
          <w:szCs w:val="18"/>
          <w:lang w:val="en-GB" w:bidi="en-GB"/>
        </w:rPr>
        <w:t>Fixed fee</w:t>
      </w:r>
    </w:p>
    <w:p w14:paraId="2256D000" w14:textId="77777777" w:rsidR="00252D27" w:rsidRDefault="007170E2" w:rsidP="12F7AE45">
      <w:pPr>
        <w:pStyle w:val="NormalWeb"/>
        <w:tabs>
          <w:tab w:val="left" w:pos="709"/>
        </w:tabs>
        <w:rPr>
          <w:rFonts w:ascii="Verdana" w:eastAsia="Verdana" w:hAnsi="Verdana" w:cs="Verdana"/>
          <w:sz w:val="18"/>
          <w:szCs w:val="18"/>
        </w:rPr>
      </w:pPr>
      <w:r>
        <w:rPr>
          <w:rFonts w:ascii="Verdana" w:eastAsia="Verdana" w:hAnsi="Verdana" w:cs="Verdana"/>
          <w:sz w:val="18"/>
          <w:szCs w:val="18"/>
          <w:lang w:val="en-GB" w:bidi="en-GB"/>
        </w:rPr>
        <w:tab/>
        <w:t>Fixed fee has been agreed at: […………………………]</w:t>
      </w:r>
    </w:p>
    <w:p w14:paraId="2256D001" w14:textId="77777777" w:rsidR="00734BCB" w:rsidRDefault="00734BCB" w:rsidP="12F7AE45">
      <w:pPr>
        <w:pStyle w:val="NormalWeb"/>
        <w:numPr>
          <w:ilvl w:val="0"/>
          <w:numId w:val="12"/>
        </w:numPr>
        <w:rPr>
          <w:rFonts w:ascii="Verdana" w:eastAsia="Verdana" w:hAnsi="Verdana" w:cs="Verdana"/>
          <w:sz w:val="18"/>
          <w:szCs w:val="18"/>
        </w:rPr>
      </w:pPr>
      <w:r>
        <w:rPr>
          <w:rFonts w:ascii="Verdana" w:eastAsia="Verdana" w:hAnsi="Verdana" w:cs="Verdana"/>
          <w:sz w:val="18"/>
          <w:szCs w:val="18"/>
          <w:lang w:val="en-GB" w:bidi="en-GB"/>
        </w:rPr>
        <w:t>Fee according to construction costs, where the Consultant receives a percentage fee on the realised fee-bearing construction costs. By fee-bearing construction costs refers to the realised construction costs as calculated in the final construction accounts, however, at the latest the building accounts that are available at the 1-year review. Connection fees, consumption of water, heat and electricity are not included. Also, no fee is charged for building permits, interest and insurances, fixtures/Client deliveries, etc. that are not covered by the Agreement or for construction costs resulting from the Consultant's project errors or omissions.</w:t>
      </w:r>
    </w:p>
    <w:p w14:paraId="2256D002" w14:textId="77777777" w:rsidR="00561393" w:rsidRDefault="00561393" w:rsidP="00561393">
      <w:pPr>
        <w:pStyle w:val="NormalWeb"/>
        <w:ind w:left="360"/>
        <w:rPr>
          <w:rFonts w:ascii="Verdana" w:eastAsia="Verdana" w:hAnsi="Verdana" w:cs="Verdana"/>
          <w:sz w:val="18"/>
          <w:szCs w:val="18"/>
        </w:rPr>
      </w:pPr>
    </w:p>
    <w:p w14:paraId="2256D003" w14:textId="77777777" w:rsidR="00252D27" w:rsidRDefault="12F7AE45" w:rsidP="12F7AE45">
      <w:pPr>
        <w:pStyle w:val="NormalWeb"/>
        <w:numPr>
          <w:ilvl w:val="0"/>
          <w:numId w:val="12"/>
        </w:numPr>
        <w:rPr>
          <w:rFonts w:ascii="Verdana" w:eastAsia="Verdana" w:hAnsi="Verdana" w:cs="Verdana"/>
          <w:sz w:val="18"/>
          <w:szCs w:val="18"/>
        </w:rPr>
      </w:pPr>
      <w:r w:rsidRPr="12F7AE45">
        <w:rPr>
          <w:rFonts w:ascii="Verdana" w:eastAsia="Verdana" w:hAnsi="Verdana" w:cs="Verdana"/>
          <w:sz w:val="18"/>
          <w:szCs w:val="18"/>
          <w:lang w:val="en-GB" w:bidi="en-GB"/>
        </w:rPr>
        <w:t>Fee according to invoice</w:t>
      </w:r>
    </w:p>
    <w:p w14:paraId="2256D004"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lastRenderedPageBreak/>
        <w:t>It is agreed between the Parties that the fee for the Consultant, including subconsultants, shall be settled according to invoice - possible within a fixed limit of DKK ………… ex. VAT. The Client may request an estimate or possibly determine a cap on the fee.</w:t>
      </w:r>
    </w:p>
    <w:p w14:paraId="2256D005"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Hourly rates are as follows, ex. VAT, with a stipulated number of hours:</w:t>
      </w:r>
    </w:p>
    <w:p w14:paraId="2256D006"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Owner/partner/specialist: DKK [……] per hour, alternatively for X hours)</w:t>
      </w:r>
    </w:p>
    <w:p w14:paraId="2256D007" w14:textId="77777777" w:rsidR="00252D27"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Project planning manager/construction manager: DKK [……]</w:t>
      </w:r>
      <w:r w:rsidR="0022495E" w:rsidRPr="0022495E">
        <w:rPr>
          <w:lang w:val="en-GB" w:bidi="en-GB"/>
        </w:rPr>
        <w:t xml:space="preserve"> </w:t>
      </w:r>
      <w:r w:rsidR="0022495E" w:rsidRPr="0022495E">
        <w:rPr>
          <w:rFonts w:ascii="Verdana" w:eastAsia="Verdana" w:hAnsi="Verdana" w:cs="Verdana"/>
          <w:sz w:val="18"/>
          <w:szCs w:val="18"/>
          <w:lang w:val="en-GB" w:bidi="en-GB"/>
        </w:rPr>
        <w:t>per hour, alternatively for X hours)</w:t>
      </w:r>
    </w:p>
    <w:p w14:paraId="2256D008" w14:textId="77777777" w:rsidR="005769DE"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Architects, engineers and building constructors (Academic workers) (DKK [……]</w:t>
      </w:r>
      <w:r w:rsidR="0022495E" w:rsidRPr="0022495E">
        <w:rPr>
          <w:lang w:val="en-GB" w:bidi="en-GB"/>
        </w:rPr>
        <w:t xml:space="preserve"> </w:t>
      </w:r>
      <w:r w:rsidR="0022495E" w:rsidRPr="0022495E">
        <w:rPr>
          <w:rFonts w:ascii="Verdana" w:eastAsia="Verdana" w:hAnsi="Verdana" w:cs="Verdana"/>
          <w:sz w:val="18"/>
          <w:szCs w:val="18"/>
          <w:lang w:val="en-GB" w:bidi="en-GB"/>
        </w:rPr>
        <w:t>per hour, alternatively for X hours)</w:t>
      </w:r>
    </w:p>
    <w:p w14:paraId="0B1D57AF" w14:textId="2BE41B9A" w:rsidR="00386ACE" w:rsidRDefault="12F7AE45" w:rsidP="12F7AE45">
      <w:pPr>
        <w:pStyle w:val="NormalWeb"/>
        <w:ind w:left="709"/>
        <w:rPr>
          <w:rFonts w:ascii="Verdana" w:eastAsia="Verdana" w:hAnsi="Verdana" w:cs="Verdana"/>
          <w:sz w:val="18"/>
          <w:szCs w:val="18"/>
          <w:lang w:val="en-GB" w:bidi="en-GB"/>
        </w:rPr>
      </w:pPr>
      <w:r w:rsidRPr="12F7AE45">
        <w:rPr>
          <w:rFonts w:ascii="Verdana" w:eastAsia="Verdana" w:hAnsi="Verdana" w:cs="Verdana"/>
          <w:sz w:val="18"/>
          <w:szCs w:val="18"/>
          <w:lang w:val="en-GB" w:bidi="en-GB"/>
        </w:rPr>
        <w:t xml:space="preserve">Hourly rates are indexed according to ABR 18, Section 33. For example, as the basis for the consultancy fees, </w:t>
      </w:r>
      <w:r w:rsidR="00386ACE">
        <w:rPr>
          <w:rFonts w:ascii="Verdana" w:eastAsia="Verdana" w:hAnsi="Verdana" w:cs="Arial"/>
          <w:sz w:val="18"/>
          <w:szCs w:val="20"/>
          <w:lang w:val="en-GB" w:bidi="en-GB"/>
        </w:rPr>
        <w:t>Statistics Denmark’s index of average earnings, SBLON1, with</w:t>
      </w:r>
      <w:r w:rsidR="00386ACE">
        <w:rPr>
          <w:lang w:val="en-GB" w:bidi="en-GB"/>
        </w:rPr>
        <w:t xml:space="preserve"> </w:t>
      </w:r>
      <w:r w:rsidR="00386ACE" w:rsidRPr="00A721C9">
        <w:rPr>
          <w:rFonts w:ascii="Verdana" w:eastAsia="Verdana" w:hAnsi="Verdana" w:cs="Arial"/>
          <w:sz w:val="18"/>
          <w:szCs w:val="20"/>
          <w:lang w:val="en-GB" w:bidi="en-GB"/>
        </w:rPr>
        <w:t>MA Consultancy etc.</w:t>
      </w:r>
      <w:r w:rsidR="00386ACE">
        <w:rPr>
          <w:rFonts w:ascii="Verdana" w:eastAsia="Verdana" w:hAnsi="Verdana" w:cs="Arial"/>
          <w:sz w:val="18"/>
          <w:szCs w:val="20"/>
          <w:lang w:val="en-GB" w:bidi="en-GB"/>
        </w:rPr>
        <w:t xml:space="preserve"> (Corporations and organizations)</w:t>
      </w:r>
      <w:r w:rsidR="00386ACE" w:rsidRPr="00A721C9">
        <w:rPr>
          <w:rFonts w:ascii="Verdana" w:eastAsia="Verdana" w:hAnsi="Verdana" w:cs="Arial"/>
          <w:sz w:val="18"/>
          <w:szCs w:val="20"/>
          <w:lang w:val="en-GB" w:bidi="en-GB"/>
        </w:rPr>
        <w:t>.</w:t>
      </w:r>
    </w:p>
    <w:p w14:paraId="2256D00A" w14:textId="441BC06D" w:rsidR="00252D27" w:rsidRDefault="12F7AE45" w:rsidP="00386ACE">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 xml:space="preserve">If a framework has been agreed, the Consultant undertakes to continuously monitor compliance with the framework. If the framework is exceeded due to circumstances that are not due to the Consultant's affairs, the Consultant undertakes to notify the Client so the Client can decide on the necessary measures, possibly expanding the framework. </w:t>
      </w:r>
    </w:p>
    <w:p w14:paraId="2256D00B" w14:textId="77777777" w:rsidR="00462A90" w:rsidRPr="00D03AE0" w:rsidRDefault="12F7AE45" w:rsidP="12F7AE45">
      <w:pPr>
        <w:pStyle w:val="NormalWeb"/>
        <w:ind w:left="709"/>
        <w:rPr>
          <w:rFonts w:ascii="Verdana" w:eastAsia="Verdana" w:hAnsi="Verdana" w:cs="Verdana"/>
          <w:sz w:val="18"/>
          <w:szCs w:val="18"/>
        </w:rPr>
      </w:pPr>
      <w:r w:rsidRPr="12F7AE45">
        <w:rPr>
          <w:rFonts w:ascii="Verdana" w:eastAsia="Verdana" w:hAnsi="Verdana" w:cs="Verdana"/>
          <w:sz w:val="18"/>
          <w:szCs w:val="18"/>
          <w:lang w:val="en-GB" w:bidi="en-GB"/>
        </w:rPr>
        <w:t>If the agreement is designed with a view to a possible extension of the assistance, an agreement on the fee for supplementary services should be included in an addendum to the agreement.</w:t>
      </w:r>
    </w:p>
    <w:p w14:paraId="2256D00C" w14:textId="37DE5A1A" w:rsidR="00E86B13" w:rsidRDefault="12F7AE45" w:rsidP="004A4F5C">
      <w:pPr>
        <w:pStyle w:val="NormalWeb"/>
        <w:ind w:left="709"/>
        <w:rPr>
          <w:rFonts w:ascii="Verdana" w:eastAsia="Verdana" w:hAnsi="Verdana" w:cs="Verdana"/>
          <w:b/>
          <w:bCs/>
          <w:sz w:val="18"/>
          <w:szCs w:val="18"/>
        </w:rPr>
      </w:pPr>
      <w:r w:rsidRPr="12F7AE45">
        <w:rPr>
          <w:rFonts w:ascii="Verdana" w:eastAsia="Verdana" w:hAnsi="Verdana" w:cs="Verdana"/>
          <w:sz w:val="18"/>
          <w:szCs w:val="18"/>
          <w:lang w:val="en-GB" w:bidi="en-GB"/>
        </w:rPr>
        <w:t>The Parties should agree on whether the fee should include remuneration of travel time which does not fall under working time between the Consultant's workplace and the Client's address and the construction site. Or whether travel time should be calculated and invoiced separately, e.g., because the amount of travel time is difficult to predict.</w:t>
      </w:r>
    </w:p>
    <w:p w14:paraId="2256D00D" w14:textId="77777777" w:rsidR="00462A9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9</w:t>
      </w:r>
      <w:r w:rsidR="5BD6DF36">
        <w:rPr>
          <w:lang w:val="en-GB" w:bidi="en-GB"/>
        </w:rPr>
        <w:br/>
      </w:r>
      <w:r w:rsidRPr="12F7AE45">
        <w:rPr>
          <w:rFonts w:ascii="Verdana" w:eastAsia="Verdana" w:hAnsi="Verdana" w:cs="Verdana"/>
          <w:sz w:val="18"/>
          <w:szCs w:val="18"/>
          <w:lang w:val="en-GB" w:bidi="en-GB"/>
        </w:rPr>
        <w:t>What constitutes an expense is stated in ABR 18, Section 33 (7). If you would like to add amendments/addenda, these must be specified in the Agreement.</w:t>
      </w:r>
    </w:p>
    <w:p w14:paraId="09ECF6AF" w14:textId="0708F805" w:rsidR="005270D8" w:rsidRPr="005270D8" w:rsidRDefault="005270D8" w:rsidP="005270D8">
      <w:pPr>
        <w:rPr>
          <w:rFonts w:ascii="Verdana" w:eastAsia="Verdana" w:hAnsi="Verdana" w:cs="Verdana"/>
          <w:sz w:val="18"/>
          <w:szCs w:val="18"/>
        </w:rPr>
      </w:pPr>
      <w:r w:rsidRPr="005270D8">
        <w:rPr>
          <w:rFonts w:ascii="Verdana" w:eastAsia="Verdana" w:hAnsi="Verdana" w:cs="Verdana"/>
          <w:sz w:val="18"/>
          <w:szCs w:val="18"/>
          <w:lang w:val="en-GB" w:bidi="en-GB"/>
        </w:rPr>
        <w:t>It is recommended to consider the payment of travel expenses in connection with the task's execution, including mileage allowance, air/train travel, board and lodging in connection with trips, meetings, etc.</w:t>
      </w:r>
    </w:p>
    <w:p w14:paraId="2256D00F" w14:textId="77777777" w:rsidR="00CD15F3"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10</w:t>
      </w:r>
      <w:r w:rsidR="5BD6DF36">
        <w:rPr>
          <w:lang w:val="en-GB" w:bidi="en-GB"/>
        </w:rPr>
        <w:br/>
      </w:r>
      <w:r w:rsidRPr="12F7AE45">
        <w:rPr>
          <w:rFonts w:ascii="Verdana" w:eastAsia="Verdana" w:hAnsi="Verdana" w:cs="Verdana"/>
          <w:sz w:val="18"/>
          <w:szCs w:val="18"/>
          <w:lang w:val="en-GB" w:bidi="en-GB"/>
        </w:rPr>
        <w:t xml:space="preserve">The fee may be required to be paid in arrears on a monthly basis, cf. ABR 18, Section 34 (1), unless another payment plan has been agreed upon, cf. ABR 18, Section 34 (2). </w:t>
      </w:r>
    </w:p>
    <w:p w14:paraId="2256D010" w14:textId="77777777" w:rsidR="00CD15F3" w:rsidRPr="00D03AE0" w:rsidRDefault="12F7AE45" w:rsidP="12F7AE45">
      <w:pPr>
        <w:pStyle w:val="NormalWeb"/>
        <w:rPr>
          <w:rFonts w:ascii="Verdana" w:eastAsia="Verdana" w:hAnsi="Verdana" w:cs="Verdana"/>
          <w:sz w:val="18"/>
          <w:szCs w:val="18"/>
        </w:rPr>
      </w:pPr>
      <w:r w:rsidRPr="12F7AE45">
        <w:rPr>
          <w:rFonts w:ascii="Verdana" w:eastAsia="Verdana" w:hAnsi="Verdana" w:cs="Verdana"/>
          <w:sz w:val="18"/>
          <w:szCs w:val="18"/>
          <w:lang w:val="en-GB" w:bidi="en-GB"/>
        </w:rPr>
        <w:t>In case of late payment, interest on arrears and fees are calculated according to the provisions in the Danish Interest Act, cf. Executive Order 459 of 13 May 2014.</w:t>
      </w:r>
    </w:p>
    <w:p w14:paraId="2256D011" w14:textId="77777777" w:rsidR="00462A9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11</w:t>
      </w:r>
      <w:r w:rsidR="5BD6DF36">
        <w:rPr>
          <w:lang w:val="en-GB" w:bidi="en-GB"/>
        </w:rPr>
        <w:br/>
      </w:r>
      <w:r w:rsidRPr="12F7AE45">
        <w:rPr>
          <w:rFonts w:ascii="Verdana" w:eastAsia="Verdana" w:hAnsi="Verdana" w:cs="Verdana"/>
          <w:sz w:val="18"/>
          <w:szCs w:val="18"/>
          <w:lang w:val="en-GB" w:bidi="en-GB"/>
        </w:rPr>
        <w:t>ABR 18’s rules concerning liability in cases of errors and omissions make it unnecessary to include further liability provisions in the Agreement. An independent statement that the Consultant is liable in accordance with the general rules of Danish law on liability is not in accordance with ABR 18’s section G on liability.</w:t>
      </w:r>
    </w:p>
    <w:p w14:paraId="2256D012" w14:textId="77777777" w:rsidR="00462A90" w:rsidRDefault="00FD7347" w:rsidP="12F7AE45">
      <w:pPr>
        <w:pStyle w:val="NormalWeb"/>
        <w:rPr>
          <w:rFonts w:ascii="Verdana" w:eastAsia="Verdana" w:hAnsi="Verdana" w:cs="Verdana"/>
          <w:sz w:val="18"/>
          <w:szCs w:val="18"/>
        </w:rPr>
      </w:pPr>
      <w:r>
        <w:rPr>
          <w:rFonts w:ascii="Verdana" w:eastAsia="Verdana" w:hAnsi="Verdana" w:cs="Verdana"/>
          <w:sz w:val="18"/>
          <w:szCs w:val="18"/>
          <w:lang w:val="en-GB" w:bidi="en-GB"/>
        </w:rPr>
        <w:t>The limits of the Consultant’s financial liability are set out in ABR 18, Section 50. If project liability insurance has been agreed, liability is limited to the project liability insurance sum. If no project liability insurance has been taken out, liability is limited to 2 times the remuneration sum, though at the least DKK 2.5 million. In order to avoid subsequent discussions on the size of the fee, it is appropriate to state a specific amount, corresponding to twice the budgeted remuneration for the specific project if it exceeds DKK 2.5 million. Otherwise, DKK 2.5 million shall be stated.</w:t>
      </w:r>
    </w:p>
    <w:p w14:paraId="2256D013" w14:textId="77777777" w:rsidR="00A12A51" w:rsidRDefault="00A12A51" w:rsidP="12F7AE45">
      <w:pPr>
        <w:pStyle w:val="NormalWeb"/>
        <w:rPr>
          <w:rFonts w:ascii="Verdana" w:eastAsia="Verdana" w:hAnsi="Verdana" w:cs="Verdana"/>
          <w:sz w:val="18"/>
          <w:szCs w:val="18"/>
        </w:rPr>
      </w:pPr>
      <w:r>
        <w:rPr>
          <w:rFonts w:ascii="Verdana" w:eastAsia="Verdana" w:hAnsi="Verdana" w:cs="Verdana"/>
          <w:sz w:val="18"/>
          <w:szCs w:val="18"/>
          <w:lang w:val="en-GB" w:bidi="en-GB"/>
        </w:rPr>
        <w:t xml:space="preserve">Note that the Consultant's liability will be higher than the original amount if ongoing insurance has been agreed, and the final fee will be higher than the </w:t>
      </w:r>
      <w:proofErr w:type="gramStart"/>
      <w:r>
        <w:rPr>
          <w:rFonts w:ascii="Verdana" w:eastAsia="Verdana" w:hAnsi="Verdana" w:cs="Verdana"/>
          <w:sz w:val="18"/>
          <w:szCs w:val="18"/>
          <w:lang w:val="en-GB" w:bidi="en-GB"/>
        </w:rPr>
        <w:t>originally-agreed</w:t>
      </w:r>
      <w:proofErr w:type="gramEnd"/>
      <w:r>
        <w:rPr>
          <w:rFonts w:ascii="Verdana" w:eastAsia="Verdana" w:hAnsi="Verdana" w:cs="Verdana"/>
          <w:sz w:val="18"/>
          <w:szCs w:val="18"/>
          <w:lang w:val="en-GB" w:bidi="en-GB"/>
        </w:rPr>
        <w:t xml:space="preserve"> fee and will thus exceed DKK 1,250,000 ex. VAT.</w:t>
      </w:r>
    </w:p>
    <w:p w14:paraId="2256D014" w14:textId="3C03C6A4" w:rsidR="00DC0194" w:rsidRDefault="00DC0194" w:rsidP="12F7AE45">
      <w:pPr>
        <w:pStyle w:val="NormalWeb"/>
        <w:rPr>
          <w:rFonts w:ascii="Verdana" w:eastAsia="Verdana" w:hAnsi="Verdana" w:cs="Verdana"/>
          <w:sz w:val="18"/>
          <w:szCs w:val="18"/>
        </w:rPr>
      </w:pPr>
      <w:r>
        <w:rPr>
          <w:rFonts w:ascii="Verdana" w:eastAsia="Verdana" w:hAnsi="Verdana" w:cs="Verdana"/>
          <w:sz w:val="18"/>
          <w:szCs w:val="18"/>
          <w:lang w:val="en-GB" w:bidi="en-GB"/>
        </w:rPr>
        <w:lastRenderedPageBreak/>
        <w:t>If a project-specific insurance (project liability insurance) has been agreed upon and this insurance covers more contracts than the present one, there must be an additional limitation of liability corresponding to the coverage sum that remains at any time on the project liability insurance, so that the Consultant is not left with an uncovered liability as a result of (other parties’) use of the coverage.</w:t>
      </w:r>
    </w:p>
    <w:p w14:paraId="2256D015" w14:textId="652CF056" w:rsidR="00462A90" w:rsidRDefault="12F7AE45" w:rsidP="12F7AE45">
      <w:pPr>
        <w:pStyle w:val="NormalWeb"/>
        <w:rPr>
          <w:rFonts w:ascii="Verdana" w:eastAsia="Verdana" w:hAnsi="Verdana" w:cs="Verdana"/>
          <w:sz w:val="18"/>
          <w:szCs w:val="18"/>
        </w:rPr>
      </w:pPr>
      <w:r w:rsidRPr="12F7AE45">
        <w:rPr>
          <w:rFonts w:ascii="Verdana" w:eastAsia="Verdana" w:hAnsi="Verdana" w:cs="Verdana"/>
          <w:b/>
          <w:sz w:val="18"/>
          <w:szCs w:val="18"/>
          <w:lang w:val="en-GB" w:bidi="en-GB"/>
        </w:rPr>
        <w:t>re. 12</w:t>
      </w:r>
      <w:r w:rsidR="5BD6DF36">
        <w:rPr>
          <w:lang w:val="en-GB" w:bidi="en-GB"/>
        </w:rPr>
        <w:br/>
      </w:r>
      <w:r w:rsidR="006D5189">
        <w:rPr>
          <w:rFonts w:ascii="Verdana" w:eastAsia="Verdana" w:hAnsi="Verdana" w:cs="Verdana"/>
          <w:sz w:val="18"/>
          <w:szCs w:val="18"/>
          <w:lang w:val="en-GB" w:bidi="en-GB"/>
        </w:rPr>
        <w:t>The Client should make sure in the Agreement that the task is covered by an ongoing liability insurance, cf. ABR 18, Section 8, or alternatively by a project liability insurance, possibly by stating the name of the insurance company and the policy number.</w:t>
      </w:r>
    </w:p>
    <w:p w14:paraId="2256D016" w14:textId="77777777" w:rsidR="0075182A" w:rsidRDefault="12F7AE45" w:rsidP="12F7AE45">
      <w:pPr>
        <w:pStyle w:val="NormalWeb"/>
        <w:spacing w:line="259" w:lineRule="auto"/>
        <w:rPr>
          <w:rFonts w:ascii="Verdana" w:eastAsia="Verdana" w:hAnsi="Verdana" w:cs="Verdana"/>
          <w:b/>
          <w:bCs/>
          <w:sz w:val="18"/>
          <w:szCs w:val="18"/>
        </w:rPr>
      </w:pPr>
      <w:r w:rsidRPr="12F7AE45">
        <w:rPr>
          <w:rFonts w:ascii="Verdana" w:eastAsia="Verdana" w:hAnsi="Verdana" w:cs="Verdana"/>
          <w:b/>
          <w:sz w:val="18"/>
          <w:szCs w:val="18"/>
          <w:lang w:val="en-GB" w:bidi="en-GB"/>
        </w:rPr>
        <w:t>re. 13</w:t>
      </w:r>
      <w:r w:rsidR="5BD6DF36">
        <w:rPr>
          <w:lang w:val="en-GB" w:bidi="en-GB"/>
        </w:rPr>
        <w:br/>
      </w:r>
      <w:r w:rsidRPr="12F7AE45">
        <w:rPr>
          <w:rFonts w:ascii="Verdana" w:eastAsia="Verdana" w:hAnsi="Verdana" w:cs="Verdana"/>
          <w:sz w:val="18"/>
          <w:szCs w:val="18"/>
          <w:lang w:val="en-GB" w:bidi="en-GB"/>
        </w:rPr>
        <w:t>Since ABR 18, section J, is comprehensive, further additions should not be made.</w:t>
      </w:r>
    </w:p>
    <w:p w14:paraId="2256D017" w14:textId="77777777" w:rsidR="00462A90" w:rsidRPr="00D03AE0" w:rsidRDefault="12F7AE45" w:rsidP="12F7AE45">
      <w:pPr>
        <w:pStyle w:val="NormalWeb"/>
        <w:spacing w:line="259" w:lineRule="auto"/>
        <w:rPr>
          <w:rFonts w:ascii="Verdana" w:eastAsia="Verdana" w:hAnsi="Verdana" w:cs="Verdana"/>
          <w:sz w:val="18"/>
          <w:szCs w:val="18"/>
        </w:rPr>
      </w:pPr>
      <w:r w:rsidRPr="12F7AE45">
        <w:rPr>
          <w:rFonts w:ascii="Verdana" w:eastAsia="Verdana" w:hAnsi="Verdana" w:cs="Verdana"/>
          <w:b/>
          <w:sz w:val="18"/>
          <w:szCs w:val="18"/>
          <w:lang w:val="en-GB" w:bidi="en-GB"/>
        </w:rPr>
        <w:t>re. 14</w:t>
      </w:r>
      <w:r w:rsidR="5BD6DF36">
        <w:rPr>
          <w:lang w:val="en-GB" w:bidi="en-GB"/>
        </w:rPr>
        <w:br/>
      </w:r>
      <w:r w:rsidRPr="12F7AE45">
        <w:rPr>
          <w:rFonts w:ascii="Verdana" w:eastAsia="Verdana" w:hAnsi="Verdana" w:cs="Verdana"/>
          <w:sz w:val="18"/>
          <w:szCs w:val="18"/>
          <w:lang w:val="en-GB" w:bidi="en-GB"/>
        </w:rPr>
        <w:t>Here, provisions may be added that were not possible to incorporate under one of the previous paragraphs or explanatory comments.</w:t>
      </w:r>
    </w:p>
    <w:p w14:paraId="2256D018" w14:textId="6CC0B725" w:rsidR="00462A90" w:rsidRPr="00D03AE0" w:rsidRDefault="12F7AE45" w:rsidP="00FD7347">
      <w:pPr>
        <w:pStyle w:val="NormalWeb"/>
        <w:rPr>
          <w:rFonts w:ascii="Verdana" w:eastAsia="Verdana" w:hAnsi="Verdana" w:cs="Verdana"/>
          <w:sz w:val="18"/>
          <w:szCs w:val="18"/>
        </w:rPr>
      </w:pPr>
      <w:bookmarkStart w:id="11" w:name="_Hlk521939993"/>
      <w:r w:rsidRPr="12F7AE45">
        <w:rPr>
          <w:rFonts w:ascii="Verdana" w:eastAsia="Verdana" w:hAnsi="Verdana" w:cs="Verdana"/>
          <w:sz w:val="18"/>
          <w:szCs w:val="18"/>
          <w:lang w:val="en-GB" w:bidi="en-GB"/>
        </w:rPr>
        <w:t>The need for special consultancy services that may be considered necessary is determined, cf. ABR 18, Section 9 (2). Furthermore, agreement is made on whether this assistance is paid directly by the Client or as an expense, cf. ABR 18, Section 33 (7).</w:t>
      </w:r>
      <w:bookmarkEnd w:id="11"/>
    </w:p>
    <w:p w14:paraId="2256D019" w14:textId="77777777" w:rsidR="72612917" w:rsidRDefault="12F7AE45" w:rsidP="12F7AE45">
      <w:pPr>
        <w:pStyle w:val="NormalWeb"/>
        <w:spacing w:before="0" w:beforeAutospacing="0" w:after="0" w:afterAutospacing="0"/>
        <w:jc w:val="both"/>
        <w:rPr>
          <w:rFonts w:ascii="Verdana" w:eastAsia="Verdana" w:hAnsi="Verdana" w:cs="Verdana"/>
          <w:b/>
          <w:bCs/>
          <w:sz w:val="18"/>
          <w:szCs w:val="18"/>
        </w:rPr>
      </w:pPr>
      <w:r w:rsidRPr="12F7AE45">
        <w:rPr>
          <w:rFonts w:ascii="Verdana" w:eastAsia="Verdana" w:hAnsi="Verdana" w:cs="Verdana"/>
          <w:b/>
          <w:sz w:val="18"/>
          <w:szCs w:val="18"/>
          <w:lang w:val="en-GB" w:bidi="en-GB"/>
        </w:rPr>
        <w:t>Re. 15</w:t>
      </w:r>
    </w:p>
    <w:p w14:paraId="2256D01A" w14:textId="77777777" w:rsidR="00462A90" w:rsidRPr="00D03AE0" w:rsidRDefault="12F7AE45" w:rsidP="12F7AE45">
      <w:pPr>
        <w:pStyle w:val="NormalWeb"/>
        <w:spacing w:before="0" w:beforeAutospacing="0" w:after="0" w:afterAutospacing="0"/>
        <w:rPr>
          <w:rFonts w:ascii="Verdana" w:eastAsia="Verdana" w:hAnsi="Verdana" w:cs="Verdana"/>
          <w:sz w:val="18"/>
          <w:szCs w:val="18"/>
        </w:rPr>
      </w:pPr>
      <w:r w:rsidRPr="12F7AE45">
        <w:rPr>
          <w:rFonts w:ascii="Verdana" w:eastAsia="Verdana" w:hAnsi="Verdana" w:cs="Verdana"/>
          <w:sz w:val="18"/>
          <w:szCs w:val="18"/>
          <w:lang w:val="en-GB" w:bidi="en-GB"/>
        </w:rPr>
        <w:t>Any annexes should be dated and enclosed with the Agreement.</w:t>
      </w:r>
    </w:p>
    <w:p w14:paraId="2256D01B" w14:textId="374795E1" w:rsidR="00526EB6" w:rsidRDefault="12F7AE45" w:rsidP="0075182A">
      <w:pPr>
        <w:pStyle w:val="NormalWeb"/>
      </w:pPr>
      <w:r w:rsidRPr="12F7AE45">
        <w:rPr>
          <w:rFonts w:ascii="Verdana" w:eastAsia="Verdana" w:hAnsi="Verdana" w:cs="Verdana"/>
          <w:sz w:val="18"/>
          <w:szCs w:val="18"/>
          <w:lang w:val="en-GB" w:bidi="en-GB"/>
        </w:rPr>
        <w:t>In circumstances where the Client cannot with certainty be assumed to have the necessary knowledge of the contractual circumstances for the building, the Consultant should always enclose a copy of ABR 18 and the chosen descriptions of services for the Agreement. The Consultant should – before signing the Agreement – review the Agreement and the descriptions of services with the Client in order to ensure that they have understood the Agreement and the Annexes.</w:t>
      </w:r>
      <w:r w:rsidR="5BD6DF36">
        <w:rPr>
          <w:lang w:val="en-GB" w:bidi="en-GB"/>
        </w:rPr>
        <w:br/>
      </w:r>
    </w:p>
    <w:sectPr w:rsidR="00526EB6" w:rsidSect="00462A9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99" w:right="1134" w:bottom="1134" w:left="1134" w:header="71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6FB3" w14:textId="77777777" w:rsidR="005B2527" w:rsidRDefault="005B2527">
      <w:r>
        <w:separator/>
      </w:r>
    </w:p>
  </w:endnote>
  <w:endnote w:type="continuationSeparator" w:id="0">
    <w:p w14:paraId="30CD297E" w14:textId="77777777" w:rsidR="005B2527" w:rsidRDefault="005B2527">
      <w:r>
        <w:continuationSeparator/>
      </w:r>
    </w:p>
  </w:endnote>
  <w:endnote w:type="continuationNotice" w:id="1">
    <w:p w14:paraId="07E4B9F3" w14:textId="77777777" w:rsidR="005B2527" w:rsidRDefault="005B2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Verdana,Verdana,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6" w14:textId="77777777" w:rsidR="00176E67" w:rsidRDefault="00176E67" w:rsidP="00607277">
    <w:pPr>
      <w:pStyle w:val="Sidefod"/>
      <w:framePr w:wrap="around" w:vAnchor="text" w:hAnchor="margin" w:xAlign="right" w:y="1"/>
      <w:rPr>
        <w:rStyle w:val="Sidetal"/>
      </w:rPr>
    </w:pPr>
    <w:r>
      <w:rPr>
        <w:rStyle w:val="Sidetal"/>
        <w:lang w:val="en-GB" w:bidi="en-GB"/>
      </w:rPr>
      <w:fldChar w:fldCharType="begin"/>
    </w:r>
    <w:r>
      <w:rPr>
        <w:rStyle w:val="Sidetal"/>
        <w:lang w:val="en-GB" w:bidi="en-GB"/>
      </w:rPr>
      <w:instrText xml:space="preserve">PAGE  </w:instrText>
    </w:r>
    <w:r>
      <w:rPr>
        <w:rStyle w:val="Sidetal"/>
        <w:lang w:val="en-GB" w:bidi="en-GB"/>
      </w:rPr>
      <w:fldChar w:fldCharType="end"/>
    </w:r>
  </w:p>
  <w:p w14:paraId="2256D027" w14:textId="77777777" w:rsidR="00176E67" w:rsidRDefault="00176E67" w:rsidP="006072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8" w14:textId="03FED36F" w:rsidR="00176E67" w:rsidRPr="009F60AE" w:rsidRDefault="00176E67" w:rsidP="12F7AE45">
    <w:pPr>
      <w:jc w:val="right"/>
      <w:rPr>
        <w:rFonts w:ascii="Arial" w:eastAsia="Arial" w:hAnsi="Arial" w:cs="Arial"/>
        <w:sz w:val="16"/>
        <w:szCs w:val="16"/>
      </w:rPr>
    </w:pPr>
  </w:p>
  <w:p w14:paraId="2256D029" w14:textId="77777777" w:rsidR="00176E67" w:rsidRPr="00607277" w:rsidRDefault="00176E67" w:rsidP="00AF1542">
    <w:pPr>
      <w:pStyle w:val="Sidefod"/>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A" w14:textId="77777777" w:rsidR="00176E67" w:rsidRDefault="12F7AE45" w:rsidP="00607277">
    <w:pPr>
      <w:pStyle w:val="Sidefod"/>
      <w:jc w:val="right"/>
    </w:pPr>
    <w:r>
      <w:rPr>
        <w:lang w:val="en-GB" w:bidi="en-GB"/>
      </w:rPr>
      <w:t xml:space="preserve">Page </w:t>
    </w:r>
    <w:r w:rsidR="00176E67" w:rsidRPr="12F7AE45">
      <w:rPr>
        <w:noProof/>
        <w:lang w:val="en-GB" w:bidi="en-GB"/>
      </w:rPr>
      <w:fldChar w:fldCharType="begin"/>
    </w:r>
    <w:r w:rsidR="00176E67" w:rsidRPr="12F7AE45">
      <w:rPr>
        <w:noProof/>
        <w:lang w:val="en-GB" w:bidi="en-GB"/>
      </w:rPr>
      <w:instrText xml:space="preserve"> PAGE </w:instrText>
    </w:r>
    <w:r w:rsidR="00176E67" w:rsidRPr="12F7AE45">
      <w:rPr>
        <w:noProof/>
        <w:lang w:val="en-GB" w:bidi="en-GB"/>
      </w:rPr>
      <w:fldChar w:fldCharType="separate"/>
    </w:r>
    <w:r w:rsidRPr="12F7AE45">
      <w:rPr>
        <w:noProof/>
        <w:lang w:val="en-GB" w:bidi="en-GB"/>
      </w:rPr>
      <w:t>1</w:t>
    </w:r>
    <w:r w:rsidR="00176E67" w:rsidRPr="12F7AE45">
      <w:rPr>
        <w:noProof/>
        <w:lang w:val="en-GB" w:bidi="en-GB"/>
      </w:rPr>
      <w:fldChar w:fldCharType="end"/>
    </w:r>
    <w:r>
      <w:rPr>
        <w:lang w:val="en-GB" w:bidi="en-GB"/>
      </w:rPr>
      <w:t xml:space="preserve"> of </w:t>
    </w:r>
    <w:r w:rsidR="00176E67" w:rsidRPr="12F7AE45">
      <w:rPr>
        <w:noProof/>
        <w:lang w:val="en-GB" w:bidi="en-GB"/>
      </w:rPr>
      <w:fldChar w:fldCharType="begin"/>
    </w:r>
    <w:r w:rsidR="00176E67" w:rsidRPr="12F7AE45">
      <w:rPr>
        <w:noProof/>
        <w:lang w:val="en-GB" w:bidi="en-GB"/>
      </w:rPr>
      <w:instrText xml:space="preserve"> NUMPAGES </w:instrText>
    </w:r>
    <w:r w:rsidR="00176E67" w:rsidRPr="12F7AE45">
      <w:rPr>
        <w:noProof/>
        <w:lang w:val="en-GB" w:bidi="en-GB"/>
      </w:rPr>
      <w:fldChar w:fldCharType="separate"/>
    </w:r>
    <w:r w:rsidR="00EE3F0A">
      <w:rPr>
        <w:noProof/>
        <w:lang w:val="en-GB" w:bidi="en-GB"/>
      </w:rPr>
      <w:t>9</w:t>
    </w:r>
    <w:r w:rsidR="00176E67" w:rsidRPr="12F7AE45">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88A2" w14:textId="77777777" w:rsidR="005B2527" w:rsidRDefault="005B2527">
      <w:r>
        <w:separator/>
      </w:r>
    </w:p>
  </w:footnote>
  <w:footnote w:type="continuationSeparator" w:id="0">
    <w:p w14:paraId="3EC1A966" w14:textId="77777777" w:rsidR="005B2527" w:rsidRDefault="005B2527">
      <w:r>
        <w:continuationSeparator/>
      </w:r>
    </w:p>
  </w:footnote>
  <w:footnote w:type="continuationNotice" w:id="1">
    <w:p w14:paraId="796880CC" w14:textId="77777777" w:rsidR="005B2527" w:rsidRDefault="005B2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979E" w14:textId="77777777" w:rsidR="00386ACE" w:rsidRDefault="00386AC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024" w14:textId="00323031" w:rsidR="00176E67" w:rsidRPr="00386ACE" w:rsidRDefault="00E72BE9" w:rsidP="12F7AE45">
    <w:pPr>
      <w:pStyle w:val="Sidehoved"/>
      <w:rPr>
        <w:rFonts w:ascii="Arial" w:eastAsia="Arial" w:hAnsi="Arial" w:cs="Arial"/>
        <w:sz w:val="16"/>
        <w:szCs w:val="16"/>
      </w:rPr>
    </w:pPr>
    <w:r w:rsidRPr="00386ACE">
      <w:rPr>
        <w:rFonts w:ascii="Arial" w:eastAsia="Arial" w:hAnsi="Arial" w:cs="Arial"/>
        <w:sz w:val="16"/>
        <w:szCs w:val="16"/>
        <w:lang w:val="en-GB" w:bidi="en-GB"/>
      </w:rPr>
      <w:tab/>
    </w:r>
    <w:r w:rsidR="008B164F" w:rsidRPr="00386ACE">
      <w:rPr>
        <w:rFonts w:ascii="Arial" w:eastAsia="Arial" w:hAnsi="Arial" w:cs="Arial"/>
        <w:sz w:val="16"/>
        <w:szCs w:val="16"/>
        <w:lang w:val="en-GB" w:bidi="en-GB"/>
      </w:rPr>
      <w:tab/>
      <w:t>Ma</w:t>
    </w:r>
    <w:r w:rsidR="00386ACE">
      <w:rPr>
        <w:rFonts w:ascii="Arial" w:eastAsia="Arial" w:hAnsi="Arial" w:cs="Arial"/>
        <w:sz w:val="16"/>
        <w:szCs w:val="16"/>
        <w:lang w:val="en-GB" w:bidi="en-GB"/>
      </w:rPr>
      <w:t>rch</w:t>
    </w:r>
    <w:r w:rsidRPr="00386ACE">
      <w:rPr>
        <w:rFonts w:ascii="Arial" w:eastAsia="Arial" w:hAnsi="Arial" w:cs="Arial"/>
        <w:sz w:val="16"/>
        <w:szCs w:val="16"/>
        <w:lang w:val="en-GB" w:bidi="en-GB"/>
      </w:rPr>
      <w:t xml:space="preserve"> 20</w:t>
    </w:r>
    <w:r w:rsidR="00386ACE">
      <w:rPr>
        <w:rFonts w:ascii="Arial" w:eastAsia="Arial" w:hAnsi="Arial" w:cs="Arial"/>
        <w:sz w:val="16"/>
        <w:szCs w:val="16"/>
        <w:lang w:val="en-GB" w:bidi="en-GB"/>
      </w:rPr>
      <w:t>26</w:t>
    </w:r>
  </w:p>
  <w:p w14:paraId="2256D025" w14:textId="77777777" w:rsidR="00176E67" w:rsidRDefault="00176E67" w:rsidP="0070794E">
    <w:pPr>
      <w:pStyle w:val="Sidehoved"/>
      <w:rPr>
        <w:rFonts w:ascii="Arial" w:hAnsi="Arial"/>
        <w:sz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E4BA" w14:textId="77777777" w:rsidR="00386ACE" w:rsidRDefault="00386AC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BCD"/>
    <w:multiLevelType w:val="hybridMultilevel"/>
    <w:tmpl w:val="37B8065E"/>
    <w:lvl w:ilvl="0" w:tplc="8B98A750">
      <w:start w:val="1"/>
      <w:numFmt w:val="bullet"/>
      <w:lvlText w:val=""/>
      <w:lvlJc w:val="left"/>
      <w:pPr>
        <w:tabs>
          <w:tab w:val="num" w:pos="720"/>
        </w:tabs>
        <w:ind w:left="720" w:hanging="360"/>
      </w:pPr>
      <w:rPr>
        <w:rFonts w:ascii="Symbol" w:hAnsi="Symbol" w:hint="default"/>
        <w:sz w:val="20"/>
      </w:rPr>
    </w:lvl>
    <w:lvl w:ilvl="1" w:tplc="42BEE590" w:tentative="1">
      <w:start w:val="1"/>
      <w:numFmt w:val="bullet"/>
      <w:lvlText w:val="o"/>
      <w:lvlJc w:val="left"/>
      <w:pPr>
        <w:tabs>
          <w:tab w:val="num" w:pos="1440"/>
        </w:tabs>
        <w:ind w:left="1440" w:hanging="360"/>
      </w:pPr>
      <w:rPr>
        <w:rFonts w:ascii="Courier New" w:hAnsi="Courier New" w:hint="default"/>
        <w:sz w:val="20"/>
      </w:rPr>
    </w:lvl>
    <w:lvl w:ilvl="2" w:tplc="71845A2C" w:tentative="1">
      <w:start w:val="1"/>
      <w:numFmt w:val="bullet"/>
      <w:lvlText w:val=""/>
      <w:lvlJc w:val="left"/>
      <w:pPr>
        <w:tabs>
          <w:tab w:val="num" w:pos="2160"/>
        </w:tabs>
        <w:ind w:left="2160" w:hanging="360"/>
      </w:pPr>
      <w:rPr>
        <w:rFonts w:ascii="Wingdings" w:hAnsi="Wingdings" w:hint="default"/>
        <w:sz w:val="20"/>
      </w:rPr>
    </w:lvl>
    <w:lvl w:ilvl="3" w:tplc="A38A4DEC" w:tentative="1">
      <w:start w:val="1"/>
      <w:numFmt w:val="bullet"/>
      <w:lvlText w:val=""/>
      <w:lvlJc w:val="left"/>
      <w:pPr>
        <w:tabs>
          <w:tab w:val="num" w:pos="2880"/>
        </w:tabs>
        <w:ind w:left="2880" w:hanging="360"/>
      </w:pPr>
      <w:rPr>
        <w:rFonts w:ascii="Wingdings" w:hAnsi="Wingdings" w:hint="default"/>
        <w:sz w:val="20"/>
      </w:rPr>
    </w:lvl>
    <w:lvl w:ilvl="4" w:tplc="B58E99EA" w:tentative="1">
      <w:start w:val="1"/>
      <w:numFmt w:val="bullet"/>
      <w:lvlText w:val=""/>
      <w:lvlJc w:val="left"/>
      <w:pPr>
        <w:tabs>
          <w:tab w:val="num" w:pos="3600"/>
        </w:tabs>
        <w:ind w:left="3600" w:hanging="360"/>
      </w:pPr>
      <w:rPr>
        <w:rFonts w:ascii="Wingdings" w:hAnsi="Wingdings" w:hint="default"/>
        <w:sz w:val="20"/>
      </w:rPr>
    </w:lvl>
    <w:lvl w:ilvl="5" w:tplc="2C82EF10" w:tentative="1">
      <w:start w:val="1"/>
      <w:numFmt w:val="bullet"/>
      <w:lvlText w:val=""/>
      <w:lvlJc w:val="left"/>
      <w:pPr>
        <w:tabs>
          <w:tab w:val="num" w:pos="4320"/>
        </w:tabs>
        <w:ind w:left="4320" w:hanging="360"/>
      </w:pPr>
      <w:rPr>
        <w:rFonts w:ascii="Wingdings" w:hAnsi="Wingdings" w:hint="default"/>
        <w:sz w:val="20"/>
      </w:rPr>
    </w:lvl>
    <w:lvl w:ilvl="6" w:tplc="BECAF7BA" w:tentative="1">
      <w:start w:val="1"/>
      <w:numFmt w:val="bullet"/>
      <w:lvlText w:val=""/>
      <w:lvlJc w:val="left"/>
      <w:pPr>
        <w:tabs>
          <w:tab w:val="num" w:pos="5040"/>
        </w:tabs>
        <w:ind w:left="5040" w:hanging="360"/>
      </w:pPr>
      <w:rPr>
        <w:rFonts w:ascii="Wingdings" w:hAnsi="Wingdings" w:hint="default"/>
        <w:sz w:val="20"/>
      </w:rPr>
    </w:lvl>
    <w:lvl w:ilvl="7" w:tplc="30B4C6E0" w:tentative="1">
      <w:start w:val="1"/>
      <w:numFmt w:val="bullet"/>
      <w:lvlText w:val=""/>
      <w:lvlJc w:val="left"/>
      <w:pPr>
        <w:tabs>
          <w:tab w:val="num" w:pos="5760"/>
        </w:tabs>
        <w:ind w:left="5760" w:hanging="360"/>
      </w:pPr>
      <w:rPr>
        <w:rFonts w:ascii="Wingdings" w:hAnsi="Wingdings" w:hint="default"/>
        <w:sz w:val="20"/>
      </w:rPr>
    </w:lvl>
    <w:lvl w:ilvl="8" w:tplc="2242BAE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632E"/>
    <w:multiLevelType w:val="hybridMultilevel"/>
    <w:tmpl w:val="1E086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F161A5"/>
    <w:multiLevelType w:val="hybridMultilevel"/>
    <w:tmpl w:val="6EEE0E60"/>
    <w:lvl w:ilvl="0" w:tplc="DFA09D50">
      <w:start w:val="1"/>
      <w:numFmt w:val="decimal"/>
      <w:lvlText w:val="%1."/>
      <w:lvlJc w:val="left"/>
      <w:pPr>
        <w:ind w:left="720" w:hanging="360"/>
      </w:pPr>
    </w:lvl>
    <w:lvl w:ilvl="1" w:tplc="8550C1B8">
      <w:start w:val="1"/>
      <w:numFmt w:val="lowerLetter"/>
      <w:lvlText w:val="%2."/>
      <w:lvlJc w:val="left"/>
      <w:pPr>
        <w:ind w:left="1440" w:hanging="360"/>
      </w:pPr>
    </w:lvl>
    <w:lvl w:ilvl="2" w:tplc="6AF6EC08">
      <w:start w:val="1"/>
      <w:numFmt w:val="lowerRoman"/>
      <w:lvlText w:val="%3."/>
      <w:lvlJc w:val="right"/>
      <w:pPr>
        <w:ind w:left="2160" w:hanging="180"/>
      </w:pPr>
    </w:lvl>
    <w:lvl w:ilvl="3" w:tplc="A13ABD92">
      <w:start w:val="1"/>
      <w:numFmt w:val="decimal"/>
      <w:lvlText w:val="%4."/>
      <w:lvlJc w:val="left"/>
      <w:pPr>
        <w:ind w:left="2880" w:hanging="360"/>
      </w:pPr>
    </w:lvl>
    <w:lvl w:ilvl="4" w:tplc="FBB4E18E">
      <w:start w:val="1"/>
      <w:numFmt w:val="lowerLetter"/>
      <w:lvlText w:val="%5."/>
      <w:lvlJc w:val="left"/>
      <w:pPr>
        <w:ind w:left="3600" w:hanging="360"/>
      </w:pPr>
    </w:lvl>
    <w:lvl w:ilvl="5" w:tplc="9E825640">
      <w:start w:val="1"/>
      <w:numFmt w:val="lowerRoman"/>
      <w:lvlText w:val="%6."/>
      <w:lvlJc w:val="right"/>
      <w:pPr>
        <w:ind w:left="4320" w:hanging="180"/>
      </w:pPr>
    </w:lvl>
    <w:lvl w:ilvl="6" w:tplc="2A764D12">
      <w:start w:val="1"/>
      <w:numFmt w:val="decimal"/>
      <w:lvlText w:val="%7."/>
      <w:lvlJc w:val="left"/>
      <w:pPr>
        <w:ind w:left="5040" w:hanging="360"/>
      </w:pPr>
    </w:lvl>
    <w:lvl w:ilvl="7" w:tplc="3F08658A">
      <w:start w:val="1"/>
      <w:numFmt w:val="lowerLetter"/>
      <w:lvlText w:val="%8."/>
      <w:lvlJc w:val="left"/>
      <w:pPr>
        <w:ind w:left="5760" w:hanging="360"/>
      </w:pPr>
    </w:lvl>
    <w:lvl w:ilvl="8" w:tplc="C472DF42">
      <w:start w:val="1"/>
      <w:numFmt w:val="lowerRoman"/>
      <w:lvlText w:val="%9."/>
      <w:lvlJc w:val="right"/>
      <w:pPr>
        <w:ind w:left="6480" w:hanging="180"/>
      </w:pPr>
    </w:lvl>
  </w:abstractNum>
  <w:abstractNum w:abstractNumId="3" w15:restartNumberingAfterBreak="0">
    <w:nsid w:val="1ECA7396"/>
    <w:multiLevelType w:val="hybridMultilevel"/>
    <w:tmpl w:val="0A1671A2"/>
    <w:lvl w:ilvl="0" w:tplc="F36871C8">
      <w:start w:val="1"/>
      <w:numFmt w:val="bullet"/>
      <w:lvlText w:val=""/>
      <w:lvlJc w:val="left"/>
      <w:pPr>
        <w:tabs>
          <w:tab w:val="num" w:pos="720"/>
        </w:tabs>
        <w:ind w:left="720" w:hanging="360"/>
      </w:pPr>
      <w:rPr>
        <w:rFonts w:ascii="Symbol" w:hAnsi="Symbol" w:hint="default"/>
        <w:sz w:val="20"/>
      </w:rPr>
    </w:lvl>
    <w:lvl w:ilvl="1" w:tplc="918AF286" w:tentative="1">
      <w:start w:val="1"/>
      <w:numFmt w:val="bullet"/>
      <w:lvlText w:val="o"/>
      <w:lvlJc w:val="left"/>
      <w:pPr>
        <w:tabs>
          <w:tab w:val="num" w:pos="1440"/>
        </w:tabs>
        <w:ind w:left="1440" w:hanging="360"/>
      </w:pPr>
      <w:rPr>
        <w:rFonts w:ascii="Courier New" w:hAnsi="Courier New" w:hint="default"/>
        <w:sz w:val="20"/>
      </w:rPr>
    </w:lvl>
    <w:lvl w:ilvl="2" w:tplc="BAB2CD6C" w:tentative="1">
      <w:start w:val="1"/>
      <w:numFmt w:val="bullet"/>
      <w:lvlText w:val=""/>
      <w:lvlJc w:val="left"/>
      <w:pPr>
        <w:tabs>
          <w:tab w:val="num" w:pos="2160"/>
        </w:tabs>
        <w:ind w:left="2160" w:hanging="360"/>
      </w:pPr>
      <w:rPr>
        <w:rFonts w:ascii="Wingdings" w:hAnsi="Wingdings" w:hint="default"/>
        <w:sz w:val="20"/>
      </w:rPr>
    </w:lvl>
    <w:lvl w:ilvl="3" w:tplc="1E3E9326" w:tentative="1">
      <w:start w:val="1"/>
      <w:numFmt w:val="bullet"/>
      <w:lvlText w:val=""/>
      <w:lvlJc w:val="left"/>
      <w:pPr>
        <w:tabs>
          <w:tab w:val="num" w:pos="2880"/>
        </w:tabs>
        <w:ind w:left="2880" w:hanging="360"/>
      </w:pPr>
      <w:rPr>
        <w:rFonts w:ascii="Wingdings" w:hAnsi="Wingdings" w:hint="default"/>
        <w:sz w:val="20"/>
      </w:rPr>
    </w:lvl>
    <w:lvl w:ilvl="4" w:tplc="7C844E4A" w:tentative="1">
      <w:start w:val="1"/>
      <w:numFmt w:val="bullet"/>
      <w:lvlText w:val=""/>
      <w:lvlJc w:val="left"/>
      <w:pPr>
        <w:tabs>
          <w:tab w:val="num" w:pos="3600"/>
        </w:tabs>
        <w:ind w:left="3600" w:hanging="360"/>
      </w:pPr>
      <w:rPr>
        <w:rFonts w:ascii="Wingdings" w:hAnsi="Wingdings" w:hint="default"/>
        <w:sz w:val="20"/>
      </w:rPr>
    </w:lvl>
    <w:lvl w:ilvl="5" w:tplc="F6C45D8E" w:tentative="1">
      <w:start w:val="1"/>
      <w:numFmt w:val="bullet"/>
      <w:lvlText w:val=""/>
      <w:lvlJc w:val="left"/>
      <w:pPr>
        <w:tabs>
          <w:tab w:val="num" w:pos="4320"/>
        </w:tabs>
        <w:ind w:left="4320" w:hanging="360"/>
      </w:pPr>
      <w:rPr>
        <w:rFonts w:ascii="Wingdings" w:hAnsi="Wingdings" w:hint="default"/>
        <w:sz w:val="20"/>
      </w:rPr>
    </w:lvl>
    <w:lvl w:ilvl="6" w:tplc="820ED53A" w:tentative="1">
      <w:start w:val="1"/>
      <w:numFmt w:val="bullet"/>
      <w:lvlText w:val=""/>
      <w:lvlJc w:val="left"/>
      <w:pPr>
        <w:tabs>
          <w:tab w:val="num" w:pos="5040"/>
        </w:tabs>
        <w:ind w:left="5040" w:hanging="360"/>
      </w:pPr>
      <w:rPr>
        <w:rFonts w:ascii="Wingdings" w:hAnsi="Wingdings" w:hint="default"/>
        <w:sz w:val="20"/>
      </w:rPr>
    </w:lvl>
    <w:lvl w:ilvl="7" w:tplc="D350600E" w:tentative="1">
      <w:start w:val="1"/>
      <w:numFmt w:val="bullet"/>
      <w:lvlText w:val=""/>
      <w:lvlJc w:val="left"/>
      <w:pPr>
        <w:tabs>
          <w:tab w:val="num" w:pos="5760"/>
        </w:tabs>
        <w:ind w:left="5760" w:hanging="360"/>
      </w:pPr>
      <w:rPr>
        <w:rFonts w:ascii="Wingdings" w:hAnsi="Wingdings" w:hint="default"/>
        <w:sz w:val="20"/>
      </w:rPr>
    </w:lvl>
    <w:lvl w:ilvl="8" w:tplc="857084B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02C30"/>
    <w:multiLevelType w:val="hybridMultilevel"/>
    <w:tmpl w:val="EE385A3E"/>
    <w:lvl w:ilvl="0" w:tplc="84FC3B06">
      <w:start w:val="1"/>
      <w:numFmt w:val="bullet"/>
      <w:lvlText w:val=""/>
      <w:lvlJc w:val="left"/>
      <w:pPr>
        <w:tabs>
          <w:tab w:val="num" w:pos="720"/>
        </w:tabs>
        <w:ind w:left="720" w:hanging="360"/>
      </w:pPr>
      <w:rPr>
        <w:rFonts w:ascii="Symbol" w:hAnsi="Symbol" w:hint="default"/>
        <w:sz w:val="20"/>
      </w:rPr>
    </w:lvl>
    <w:lvl w:ilvl="1" w:tplc="D2988A84" w:tentative="1">
      <w:start w:val="1"/>
      <w:numFmt w:val="bullet"/>
      <w:lvlText w:val="o"/>
      <w:lvlJc w:val="left"/>
      <w:pPr>
        <w:tabs>
          <w:tab w:val="num" w:pos="1440"/>
        </w:tabs>
        <w:ind w:left="1440" w:hanging="360"/>
      </w:pPr>
      <w:rPr>
        <w:rFonts w:ascii="Courier New" w:hAnsi="Courier New" w:hint="default"/>
        <w:sz w:val="20"/>
      </w:rPr>
    </w:lvl>
    <w:lvl w:ilvl="2" w:tplc="908481A0" w:tentative="1">
      <w:start w:val="1"/>
      <w:numFmt w:val="bullet"/>
      <w:lvlText w:val=""/>
      <w:lvlJc w:val="left"/>
      <w:pPr>
        <w:tabs>
          <w:tab w:val="num" w:pos="2160"/>
        </w:tabs>
        <w:ind w:left="2160" w:hanging="360"/>
      </w:pPr>
      <w:rPr>
        <w:rFonts w:ascii="Wingdings" w:hAnsi="Wingdings" w:hint="default"/>
        <w:sz w:val="20"/>
      </w:rPr>
    </w:lvl>
    <w:lvl w:ilvl="3" w:tplc="46C681C2" w:tentative="1">
      <w:start w:val="1"/>
      <w:numFmt w:val="bullet"/>
      <w:lvlText w:val=""/>
      <w:lvlJc w:val="left"/>
      <w:pPr>
        <w:tabs>
          <w:tab w:val="num" w:pos="2880"/>
        </w:tabs>
        <w:ind w:left="2880" w:hanging="360"/>
      </w:pPr>
      <w:rPr>
        <w:rFonts w:ascii="Wingdings" w:hAnsi="Wingdings" w:hint="default"/>
        <w:sz w:val="20"/>
      </w:rPr>
    </w:lvl>
    <w:lvl w:ilvl="4" w:tplc="50BE1030" w:tentative="1">
      <w:start w:val="1"/>
      <w:numFmt w:val="bullet"/>
      <w:lvlText w:val=""/>
      <w:lvlJc w:val="left"/>
      <w:pPr>
        <w:tabs>
          <w:tab w:val="num" w:pos="3600"/>
        </w:tabs>
        <w:ind w:left="3600" w:hanging="360"/>
      </w:pPr>
      <w:rPr>
        <w:rFonts w:ascii="Wingdings" w:hAnsi="Wingdings" w:hint="default"/>
        <w:sz w:val="20"/>
      </w:rPr>
    </w:lvl>
    <w:lvl w:ilvl="5" w:tplc="44362A06" w:tentative="1">
      <w:start w:val="1"/>
      <w:numFmt w:val="bullet"/>
      <w:lvlText w:val=""/>
      <w:lvlJc w:val="left"/>
      <w:pPr>
        <w:tabs>
          <w:tab w:val="num" w:pos="4320"/>
        </w:tabs>
        <w:ind w:left="4320" w:hanging="360"/>
      </w:pPr>
      <w:rPr>
        <w:rFonts w:ascii="Wingdings" w:hAnsi="Wingdings" w:hint="default"/>
        <w:sz w:val="20"/>
      </w:rPr>
    </w:lvl>
    <w:lvl w:ilvl="6" w:tplc="7C54442C" w:tentative="1">
      <w:start w:val="1"/>
      <w:numFmt w:val="bullet"/>
      <w:lvlText w:val=""/>
      <w:lvlJc w:val="left"/>
      <w:pPr>
        <w:tabs>
          <w:tab w:val="num" w:pos="5040"/>
        </w:tabs>
        <w:ind w:left="5040" w:hanging="360"/>
      </w:pPr>
      <w:rPr>
        <w:rFonts w:ascii="Wingdings" w:hAnsi="Wingdings" w:hint="default"/>
        <w:sz w:val="20"/>
      </w:rPr>
    </w:lvl>
    <w:lvl w:ilvl="7" w:tplc="CFF8163E" w:tentative="1">
      <w:start w:val="1"/>
      <w:numFmt w:val="bullet"/>
      <w:lvlText w:val=""/>
      <w:lvlJc w:val="left"/>
      <w:pPr>
        <w:tabs>
          <w:tab w:val="num" w:pos="5760"/>
        </w:tabs>
        <w:ind w:left="5760" w:hanging="360"/>
      </w:pPr>
      <w:rPr>
        <w:rFonts w:ascii="Wingdings" w:hAnsi="Wingdings" w:hint="default"/>
        <w:sz w:val="20"/>
      </w:rPr>
    </w:lvl>
    <w:lvl w:ilvl="8" w:tplc="C8D8AD8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F650F"/>
    <w:multiLevelType w:val="hybridMultilevel"/>
    <w:tmpl w:val="7728B87C"/>
    <w:lvl w:ilvl="0" w:tplc="19F4F184">
      <w:start w:val="1"/>
      <w:numFmt w:val="decimal"/>
      <w:lvlText w:val="%1."/>
      <w:lvlJc w:val="left"/>
      <w:pPr>
        <w:ind w:left="720" w:hanging="360"/>
      </w:pPr>
    </w:lvl>
    <w:lvl w:ilvl="1" w:tplc="142AD320">
      <w:start w:val="1"/>
      <w:numFmt w:val="lowerLetter"/>
      <w:lvlText w:val="%2."/>
      <w:lvlJc w:val="left"/>
      <w:pPr>
        <w:ind w:left="1440" w:hanging="360"/>
      </w:pPr>
    </w:lvl>
    <w:lvl w:ilvl="2" w:tplc="2BFA954C">
      <w:start w:val="1"/>
      <w:numFmt w:val="lowerRoman"/>
      <w:lvlText w:val="%3."/>
      <w:lvlJc w:val="right"/>
      <w:pPr>
        <w:ind w:left="2160" w:hanging="180"/>
      </w:pPr>
    </w:lvl>
    <w:lvl w:ilvl="3" w:tplc="237E1858">
      <w:start w:val="1"/>
      <w:numFmt w:val="decimal"/>
      <w:lvlText w:val="%4."/>
      <w:lvlJc w:val="left"/>
      <w:pPr>
        <w:ind w:left="2880" w:hanging="360"/>
      </w:pPr>
    </w:lvl>
    <w:lvl w:ilvl="4" w:tplc="5A5CFDFA">
      <w:start w:val="1"/>
      <w:numFmt w:val="lowerLetter"/>
      <w:lvlText w:val="%5."/>
      <w:lvlJc w:val="left"/>
      <w:pPr>
        <w:ind w:left="3600" w:hanging="360"/>
      </w:pPr>
    </w:lvl>
    <w:lvl w:ilvl="5" w:tplc="E3909020">
      <w:start w:val="1"/>
      <w:numFmt w:val="lowerRoman"/>
      <w:lvlText w:val="%6."/>
      <w:lvlJc w:val="right"/>
      <w:pPr>
        <w:ind w:left="4320" w:hanging="180"/>
      </w:pPr>
    </w:lvl>
    <w:lvl w:ilvl="6" w:tplc="B3962B5A">
      <w:start w:val="1"/>
      <w:numFmt w:val="decimal"/>
      <w:lvlText w:val="%7."/>
      <w:lvlJc w:val="left"/>
      <w:pPr>
        <w:ind w:left="5040" w:hanging="360"/>
      </w:pPr>
    </w:lvl>
    <w:lvl w:ilvl="7" w:tplc="607CEB30">
      <w:start w:val="1"/>
      <w:numFmt w:val="lowerLetter"/>
      <w:lvlText w:val="%8."/>
      <w:lvlJc w:val="left"/>
      <w:pPr>
        <w:ind w:left="5760" w:hanging="360"/>
      </w:pPr>
    </w:lvl>
    <w:lvl w:ilvl="8" w:tplc="172C37B0">
      <w:start w:val="1"/>
      <w:numFmt w:val="lowerRoman"/>
      <w:lvlText w:val="%9."/>
      <w:lvlJc w:val="right"/>
      <w:pPr>
        <w:ind w:left="6480" w:hanging="180"/>
      </w:pPr>
    </w:lvl>
  </w:abstractNum>
  <w:abstractNum w:abstractNumId="6" w15:restartNumberingAfterBreak="0">
    <w:nsid w:val="3FC06450"/>
    <w:multiLevelType w:val="hybridMultilevel"/>
    <w:tmpl w:val="4E9292DA"/>
    <w:lvl w:ilvl="0" w:tplc="38F8CA4E">
      <w:start w:val="1"/>
      <w:numFmt w:val="decimal"/>
      <w:lvlText w:val="%1."/>
      <w:lvlJc w:val="left"/>
      <w:pPr>
        <w:ind w:left="720" w:hanging="360"/>
      </w:pPr>
    </w:lvl>
    <w:lvl w:ilvl="1" w:tplc="CD88714C">
      <w:start w:val="1"/>
      <w:numFmt w:val="lowerLetter"/>
      <w:lvlText w:val="%2."/>
      <w:lvlJc w:val="left"/>
      <w:pPr>
        <w:ind w:left="1440" w:hanging="360"/>
      </w:pPr>
    </w:lvl>
    <w:lvl w:ilvl="2" w:tplc="CD6428FE">
      <w:start w:val="1"/>
      <w:numFmt w:val="lowerRoman"/>
      <w:lvlText w:val="%3."/>
      <w:lvlJc w:val="right"/>
      <w:pPr>
        <w:ind w:left="2160" w:hanging="180"/>
      </w:pPr>
    </w:lvl>
    <w:lvl w:ilvl="3" w:tplc="E25A16F6">
      <w:start w:val="1"/>
      <w:numFmt w:val="decimal"/>
      <w:lvlText w:val="%4."/>
      <w:lvlJc w:val="left"/>
      <w:pPr>
        <w:ind w:left="2880" w:hanging="360"/>
      </w:pPr>
    </w:lvl>
    <w:lvl w:ilvl="4" w:tplc="20C68D2C">
      <w:start w:val="1"/>
      <w:numFmt w:val="lowerLetter"/>
      <w:lvlText w:val="%5."/>
      <w:lvlJc w:val="left"/>
      <w:pPr>
        <w:ind w:left="3600" w:hanging="360"/>
      </w:pPr>
    </w:lvl>
    <w:lvl w:ilvl="5" w:tplc="71844A4A">
      <w:start w:val="1"/>
      <w:numFmt w:val="lowerRoman"/>
      <w:lvlText w:val="%6."/>
      <w:lvlJc w:val="right"/>
      <w:pPr>
        <w:ind w:left="4320" w:hanging="180"/>
      </w:pPr>
    </w:lvl>
    <w:lvl w:ilvl="6" w:tplc="7854CE9E">
      <w:start w:val="1"/>
      <w:numFmt w:val="decimal"/>
      <w:lvlText w:val="%7."/>
      <w:lvlJc w:val="left"/>
      <w:pPr>
        <w:ind w:left="5040" w:hanging="360"/>
      </w:pPr>
    </w:lvl>
    <w:lvl w:ilvl="7" w:tplc="1FDC8E3A">
      <w:start w:val="1"/>
      <w:numFmt w:val="lowerLetter"/>
      <w:lvlText w:val="%8."/>
      <w:lvlJc w:val="left"/>
      <w:pPr>
        <w:ind w:left="5760" w:hanging="360"/>
      </w:pPr>
    </w:lvl>
    <w:lvl w:ilvl="8" w:tplc="ED929E84">
      <w:start w:val="1"/>
      <w:numFmt w:val="lowerRoman"/>
      <w:lvlText w:val="%9."/>
      <w:lvlJc w:val="right"/>
      <w:pPr>
        <w:ind w:left="6480" w:hanging="180"/>
      </w:pPr>
    </w:lvl>
  </w:abstractNum>
  <w:abstractNum w:abstractNumId="7" w15:restartNumberingAfterBreak="0">
    <w:nsid w:val="42F57F1C"/>
    <w:multiLevelType w:val="hybridMultilevel"/>
    <w:tmpl w:val="740C9286"/>
    <w:lvl w:ilvl="0" w:tplc="9DDCAA38">
      <w:start w:val="1"/>
      <w:numFmt w:val="bullet"/>
      <w:lvlText w:val=""/>
      <w:lvlJc w:val="left"/>
      <w:pPr>
        <w:tabs>
          <w:tab w:val="num" w:pos="720"/>
        </w:tabs>
        <w:ind w:left="720" w:hanging="360"/>
      </w:pPr>
      <w:rPr>
        <w:rFonts w:ascii="Symbol" w:hAnsi="Symbol" w:hint="default"/>
        <w:sz w:val="20"/>
      </w:rPr>
    </w:lvl>
    <w:lvl w:ilvl="1" w:tplc="B772145E">
      <w:start w:val="1"/>
      <w:numFmt w:val="bullet"/>
      <w:lvlText w:val="o"/>
      <w:lvlJc w:val="left"/>
      <w:pPr>
        <w:tabs>
          <w:tab w:val="num" w:pos="1440"/>
        </w:tabs>
        <w:ind w:left="1440" w:hanging="360"/>
      </w:pPr>
      <w:rPr>
        <w:rFonts w:ascii="Courier New" w:hAnsi="Courier New" w:hint="default"/>
        <w:sz w:val="20"/>
      </w:rPr>
    </w:lvl>
    <w:lvl w:ilvl="2" w:tplc="AA90FDC2" w:tentative="1">
      <w:start w:val="1"/>
      <w:numFmt w:val="bullet"/>
      <w:lvlText w:val=""/>
      <w:lvlJc w:val="left"/>
      <w:pPr>
        <w:tabs>
          <w:tab w:val="num" w:pos="2160"/>
        </w:tabs>
        <w:ind w:left="2160" w:hanging="360"/>
      </w:pPr>
      <w:rPr>
        <w:rFonts w:ascii="Wingdings" w:hAnsi="Wingdings" w:hint="default"/>
        <w:sz w:val="20"/>
      </w:rPr>
    </w:lvl>
    <w:lvl w:ilvl="3" w:tplc="A76674C0" w:tentative="1">
      <w:start w:val="1"/>
      <w:numFmt w:val="bullet"/>
      <w:lvlText w:val=""/>
      <w:lvlJc w:val="left"/>
      <w:pPr>
        <w:tabs>
          <w:tab w:val="num" w:pos="2880"/>
        </w:tabs>
        <w:ind w:left="2880" w:hanging="360"/>
      </w:pPr>
      <w:rPr>
        <w:rFonts w:ascii="Wingdings" w:hAnsi="Wingdings" w:hint="default"/>
        <w:sz w:val="20"/>
      </w:rPr>
    </w:lvl>
    <w:lvl w:ilvl="4" w:tplc="4BECEB3C" w:tentative="1">
      <w:start w:val="1"/>
      <w:numFmt w:val="bullet"/>
      <w:lvlText w:val=""/>
      <w:lvlJc w:val="left"/>
      <w:pPr>
        <w:tabs>
          <w:tab w:val="num" w:pos="3600"/>
        </w:tabs>
        <w:ind w:left="3600" w:hanging="360"/>
      </w:pPr>
      <w:rPr>
        <w:rFonts w:ascii="Wingdings" w:hAnsi="Wingdings" w:hint="default"/>
        <w:sz w:val="20"/>
      </w:rPr>
    </w:lvl>
    <w:lvl w:ilvl="5" w:tplc="20C69FCA" w:tentative="1">
      <w:start w:val="1"/>
      <w:numFmt w:val="bullet"/>
      <w:lvlText w:val=""/>
      <w:lvlJc w:val="left"/>
      <w:pPr>
        <w:tabs>
          <w:tab w:val="num" w:pos="4320"/>
        </w:tabs>
        <w:ind w:left="4320" w:hanging="360"/>
      </w:pPr>
      <w:rPr>
        <w:rFonts w:ascii="Wingdings" w:hAnsi="Wingdings" w:hint="default"/>
        <w:sz w:val="20"/>
      </w:rPr>
    </w:lvl>
    <w:lvl w:ilvl="6" w:tplc="778486D2" w:tentative="1">
      <w:start w:val="1"/>
      <w:numFmt w:val="bullet"/>
      <w:lvlText w:val=""/>
      <w:lvlJc w:val="left"/>
      <w:pPr>
        <w:tabs>
          <w:tab w:val="num" w:pos="5040"/>
        </w:tabs>
        <w:ind w:left="5040" w:hanging="360"/>
      </w:pPr>
      <w:rPr>
        <w:rFonts w:ascii="Wingdings" w:hAnsi="Wingdings" w:hint="default"/>
        <w:sz w:val="20"/>
      </w:rPr>
    </w:lvl>
    <w:lvl w:ilvl="7" w:tplc="93D28CF2" w:tentative="1">
      <w:start w:val="1"/>
      <w:numFmt w:val="bullet"/>
      <w:lvlText w:val=""/>
      <w:lvlJc w:val="left"/>
      <w:pPr>
        <w:tabs>
          <w:tab w:val="num" w:pos="5760"/>
        </w:tabs>
        <w:ind w:left="5760" w:hanging="360"/>
      </w:pPr>
      <w:rPr>
        <w:rFonts w:ascii="Wingdings" w:hAnsi="Wingdings" w:hint="default"/>
        <w:sz w:val="20"/>
      </w:rPr>
    </w:lvl>
    <w:lvl w:ilvl="8" w:tplc="BE78796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D7DBB"/>
    <w:multiLevelType w:val="hybridMultilevel"/>
    <w:tmpl w:val="FB64BF28"/>
    <w:lvl w:ilvl="0" w:tplc="889681A0">
      <w:start w:val="1"/>
      <w:numFmt w:val="bullet"/>
      <w:lvlText w:val=""/>
      <w:lvlJc w:val="left"/>
      <w:pPr>
        <w:tabs>
          <w:tab w:val="num" w:pos="720"/>
        </w:tabs>
        <w:ind w:left="720" w:hanging="360"/>
      </w:pPr>
      <w:rPr>
        <w:rFonts w:ascii="Symbol" w:hAnsi="Symbol" w:hint="default"/>
        <w:sz w:val="20"/>
      </w:rPr>
    </w:lvl>
    <w:lvl w:ilvl="1" w:tplc="D4CE6372">
      <w:start w:val="2"/>
      <w:numFmt w:val="bullet"/>
      <w:lvlText w:val="-"/>
      <w:lvlJc w:val="left"/>
      <w:pPr>
        <w:tabs>
          <w:tab w:val="num" w:pos="1620"/>
        </w:tabs>
        <w:ind w:left="1620" w:hanging="540"/>
      </w:pPr>
      <w:rPr>
        <w:rFonts w:ascii="Times New Roman" w:eastAsia="Times New Roman" w:hAnsi="Times New Roman" w:cs="Times New Roman" w:hint="default"/>
      </w:rPr>
    </w:lvl>
    <w:lvl w:ilvl="2" w:tplc="34249E66" w:tentative="1">
      <w:start w:val="1"/>
      <w:numFmt w:val="bullet"/>
      <w:lvlText w:val=""/>
      <w:lvlJc w:val="left"/>
      <w:pPr>
        <w:tabs>
          <w:tab w:val="num" w:pos="2160"/>
        </w:tabs>
        <w:ind w:left="2160" w:hanging="360"/>
      </w:pPr>
      <w:rPr>
        <w:rFonts w:ascii="Wingdings" w:hAnsi="Wingdings" w:hint="default"/>
        <w:sz w:val="20"/>
      </w:rPr>
    </w:lvl>
    <w:lvl w:ilvl="3" w:tplc="410A76AE" w:tentative="1">
      <w:start w:val="1"/>
      <w:numFmt w:val="bullet"/>
      <w:lvlText w:val=""/>
      <w:lvlJc w:val="left"/>
      <w:pPr>
        <w:tabs>
          <w:tab w:val="num" w:pos="2880"/>
        </w:tabs>
        <w:ind w:left="2880" w:hanging="360"/>
      </w:pPr>
      <w:rPr>
        <w:rFonts w:ascii="Wingdings" w:hAnsi="Wingdings" w:hint="default"/>
        <w:sz w:val="20"/>
      </w:rPr>
    </w:lvl>
    <w:lvl w:ilvl="4" w:tplc="73E48E64" w:tentative="1">
      <w:start w:val="1"/>
      <w:numFmt w:val="bullet"/>
      <w:lvlText w:val=""/>
      <w:lvlJc w:val="left"/>
      <w:pPr>
        <w:tabs>
          <w:tab w:val="num" w:pos="3600"/>
        </w:tabs>
        <w:ind w:left="3600" w:hanging="360"/>
      </w:pPr>
      <w:rPr>
        <w:rFonts w:ascii="Wingdings" w:hAnsi="Wingdings" w:hint="default"/>
        <w:sz w:val="20"/>
      </w:rPr>
    </w:lvl>
    <w:lvl w:ilvl="5" w:tplc="39B8D512" w:tentative="1">
      <w:start w:val="1"/>
      <w:numFmt w:val="bullet"/>
      <w:lvlText w:val=""/>
      <w:lvlJc w:val="left"/>
      <w:pPr>
        <w:tabs>
          <w:tab w:val="num" w:pos="4320"/>
        </w:tabs>
        <w:ind w:left="4320" w:hanging="360"/>
      </w:pPr>
      <w:rPr>
        <w:rFonts w:ascii="Wingdings" w:hAnsi="Wingdings" w:hint="default"/>
        <w:sz w:val="20"/>
      </w:rPr>
    </w:lvl>
    <w:lvl w:ilvl="6" w:tplc="9F8C2456" w:tentative="1">
      <w:start w:val="1"/>
      <w:numFmt w:val="bullet"/>
      <w:lvlText w:val=""/>
      <w:lvlJc w:val="left"/>
      <w:pPr>
        <w:tabs>
          <w:tab w:val="num" w:pos="5040"/>
        </w:tabs>
        <w:ind w:left="5040" w:hanging="360"/>
      </w:pPr>
      <w:rPr>
        <w:rFonts w:ascii="Wingdings" w:hAnsi="Wingdings" w:hint="default"/>
        <w:sz w:val="20"/>
      </w:rPr>
    </w:lvl>
    <w:lvl w:ilvl="7" w:tplc="48960976" w:tentative="1">
      <w:start w:val="1"/>
      <w:numFmt w:val="bullet"/>
      <w:lvlText w:val=""/>
      <w:lvlJc w:val="left"/>
      <w:pPr>
        <w:tabs>
          <w:tab w:val="num" w:pos="5760"/>
        </w:tabs>
        <w:ind w:left="5760" w:hanging="360"/>
      </w:pPr>
      <w:rPr>
        <w:rFonts w:ascii="Wingdings" w:hAnsi="Wingdings" w:hint="default"/>
        <w:sz w:val="20"/>
      </w:rPr>
    </w:lvl>
    <w:lvl w:ilvl="8" w:tplc="5772459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84B4D"/>
    <w:multiLevelType w:val="hybridMultilevel"/>
    <w:tmpl w:val="32622F86"/>
    <w:lvl w:ilvl="0" w:tplc="B41051D8">
      <w:start w:val="1"/>
      <w:numFmt w:val="bullet"/>
      <w:lvlText w:val=""/>
      <w:lvlJc w:val="left"/>
      <w:pPr>
        <w:tabs>
          <w:tab w:val="num" w:pos="720"/>
        </w:tabs>
        <w:ind w:left="720" w:hanging="360"/>
      </w:pPr>
      <w:rPr>
        <w:rFonts w:ascii="Symbol" w:hAnsi="Symbol" w:hint="default"/>
        <w:sz w:val="20"/>
      </w:rPr>
    </w:lvl>
    <w:lvl w:ilvl="1" w:tplc="1E88A97E" w:tentative="1">
      <w:start w:val="1"/>
      <w:numFmt w:val="bullet"/>
      <w:lvlText w:val="o"/>
      <w:lvlJc w:val="left"/>
      <w:pPr>
        <w:tabs>
          <w:tab w:val="num" w:pos="1440"/>
        </w:tabs>
        <w:ind w:left="1440" w:hanging="360"/>
      </w:pPr>
      <w:rPr>
        <w:rFonts w:ascii="Courier New" w:hAnsi="Courier New" w:hint="default"/>
        <w:sz w:val="20"/>
      </w:rPr>
    </w:lvl>
    <w:lvl w:ilvl="2" w:tplc="F8488070" w:tentative="1">
      <w:start w:val="1"/>
      <w:numFmt w:val="bullet"/>
      <w:lvlText w:val=""/>
      <w:lvlJc w:val="left"/>
      <w:pPr>
        <w:tabs>
          <w:tab w:val="num" w:pos="2160"/>
        </w:tabs>
        <w:ind w:left="2160" w:hanging="360"/>
      </w:pPr>
      <w:rPr>
        <w:rFonts w:ascii="Wingdings" w:hAnsi="Wingdings" w:hint="default"/>
        <w:sz w:val="20"/>
      </w:rPr>
    </w:lvl>
    <w:lvl w:ilvl="3" w:tplc="EDCEA82E" w:tentative="1">
      <w:start w:val="1"/>
      <w:numFmt w:val="bullet"/>
      <w:lvlText w:val=""/>
      <w:lvlJc w:val="left"/>
      <w:pPr>
        <w:tabs>
          <w:tab w:val="num" w:pos="2880"/>
        </w:tabs>
        <w:ind w:left="2880" w:hanging="360"/>
      </w:pPr>
      <w:rPr>
        <w:rFonts w:ascii="Wingdings" w:hAnsi="Wingdings" w:hint="default"/>
        <w:sz w:val="20"/>
      </w:rPr>
    </w:lvl>
    <w:lvl w:ilvl="4" w:tplc="6D2E2080" w:tentative="1">
      <w:start w:val="1"/>
      <w:numFmt w:val="bullet"/>
      <w:lvlText w:val=""/>
      <w:lvlJc w:val="left"/>
      <w:pPr>
        <w:tabs>
          <w:tab w:val="num" w:pos="3600"/>
        </w:tabs>
        <w:ind w:left="3600" w:hanging="360"/>
      </w:pPr>
      <w:rPr>
        <w:rFonts w:ascii="Wingdings" w:hAnsi="Wingdings" w:hint="default"/>
        <w:sz w:val="20"/>
      </w:rPr>
    </w:lvl>
    <w:lvl w:ilvl="5" w:tplc="24B46776" w:tentative="1">
      <w:start w:val="1"/>
      <w:numFmt w:val="bullet"/>
      <w:lvlText w:val=""/>
      <w:lvlJc w:val="left"/>
      <w:pPr>
        <w:tabs>
          <w:tab w:val="num" w:pos="4320"/>
        </w:tabs>
        <w:ind w:left="4320" w:hanging="360"/>
      </w:pPr>
      <w:rPr>
        <w:rFonts w:ascii="Wingdings" w:hAnsi="Wingdings" w:hint="default"/>
        <w:sz w:val="20"/>
      </w:rPr>
    </w:lvl>
    <w:lvl w:ilvl="6" w:tplc="71A4100E" w:tentative="1">
      <w:start w:val="1"/>
      <w:numFmt w:val="bullet"/>
      <w:lvlText w:val=""/>
      <w:lvlJc w:val="left"/>
      <w:pPr>
        <w:tabs>
          <w:tab w:val="num" w:pos="5040"/>
        </w:tabs>
        <w:ind w:left="5040" w:hanging="360"/>
      </w:pPr>
      <w:rPr>
        <w:rFonts w:ascii="Wingdings" w:hAnsi="Wingdings" w:hint="default"/>
        <w:sz w:val="20"/>
      </w:rPr>
    </w:lvl>
    <w:lvl w:ilvl="7" w:tplc="5B344404" w:tentative="1">
      <w:start w:val="1"/>
      <w:numFmt w:val="bullet"/>
      <w:lvlText w:val=""/>
      <w:lvlJc w:val="left"/>
      <w:pPr>
        <w:tabs>
          <w:tab w:val="num" w:pos="5760"/>
        </w:tabs>
        <w:ind w:left="5760" w:hanging="360"/>
      </w:pPr>
      <w:rPr>
        <w:rFonts w:ascii="Wingdings" w:hAnsi="Wingdings" w:hint="default"/>
        <w:sz w:val="20"/>
      </w:rPr>
    </w:lvl>
    <w:lvl w:ilvl="8" w:tplc="B150D12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F7C74"/>
    <w:multiLevelType w:val="hybridMultilevel"/>
    <w:tmpl w:val="A14C8C92"/>
    <w:lvl w:ilvl="0" w:tplc="32C64AA2">
      <w:start w:val="1"/>
      <w:numFmt w:val="decimal"/>
      <w:lvlText w:val="%1."/>
      <w:lvlJc w:val="left"/>
      <w:pPr>
        <w:ind w:left="720" w:hanging="360"/>
      </w:pPr>
    </w:lvl>
    <w:lvl w:ilvl="1" w:tplc="8CCE385A">
      <w:start w:val="1"/>
      <w:numFmt w:val="lowerLetter"/>
      <w:lvlText w:val="%2."/>
      <w:lvlJc w:val="left"/>
      <w:pPr>
        <w:ind w:left="1440" w:hanging="360"/>
      </w:pPr>
    </w:lvl>
    <w:lvl w:ilvl="2" w:tplc="324ABC1E">
      <w:start w:val="1"/>
      <w:numFmt w:val="lowerRoman"/>
      <w:lvlText w:val="%3."/>
      <w:lvlJc w:val="right"/>
      <w:pPr>
        <w:ind w:left="2160" w:hanging="180"/>
      </w:pPr>
    </w:lvl>
    <w:lvl w:ilvl="3" w:tplc="62E8FA3E">
      <w:start w:val="1"/>
      <w:numFmt w:val="decimal"/>
      <w:lvlText w:val="%4."/>
      <w:lvlJc w:val="left"/>
      <w:pPr>
        <w:ind w:left="2880" w:hanging="360"/>
      </w:pPr>
    </w:lvl>
    <w:lvl w:ilvl="4" w:tplc="A11C4A90">
      <w:start w:val="1"/>
      <w:numFmt w:val="lowerLetter"/>
      <w:lvlText w:val="%5."/>
      <w:lvlJc w:val="left"/>
      <w:pPr>
        <w:ind w:left="3600" w:hanging="360"/>
      </w:pPr>
    </w:lvl>
    <w:lvl w:ilvl="5" w:tplc="DB46B7DA">
      <w:start w:val="1"/>
      <w:numFmt w:val="lowerRoman"/>
      <w:lvlText w:val="%6."/>
      <w:lvlJc w:val="right"/>
      <w:pPr>
        <w:ind w:left="4320" w:hanging="180"/>
      </w:pPr>
    </w:lvl>
    <w:lvl w:ilvl="6" w:tplc="D5686F66">
      <w:start w:val="1"/>
      <w:numFmt w:val="decimal"/>
      <w:lvlText w:val="%7."/>
      <w:lvlJc w:val="left"/>
      <w:pPr>
        <w:ind w:left="5040" w:hanging="360"/>
      </w:pPr>
    </w:lvl>
    <w:lvl w:ilvl="7" w:tplc="F7865444">
      <w:start w:val="1"/>
      <w:numFmt w:val="lowerLetter"/>
      <w:lvlText w:val="%8."/>
      <w:lvlJc w:val="left"/>
      <w:pPr>
        <w:ind w:left="5760" w:hanging="360"/>
      </w:pPr>
    </w:lvl>
    <w:lvl w:ilvl="8" w:tplc="30BE5DBC">
      <w:start w:val="1"/>
      <w:numFmt w:val="lowerRoman"/>
      <w:lvlText w:val="%9."/>
      <w:lvlJc w:val="right"/>
      <w:pPr>
        <w:ind w:left="6480" w:hanging="180"/>
      </w:pPr>
    </w:lvl>
  </w:abstractNum>
  <w:abstractNum w:abstractNumId="11" w15:restartNumberingAfterBreak="0">
    <w:nsid w:val="70A122E1"/>
    <w:multiLevelType w:val="hybridMultilevel"/>
    <w:tmpl w:val="5DBA21C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B5710F4"/>
    <w:multiLevelType w:val="hybridMultilevel"/>
    <w:tmpl w:val="37A65288"/>
    <w:lvl w:ilvl="0" w:tplc="9054590A">
      <w:start w:val="1"/>
      <w:numFmt w:val="bullet"/>
      <w:lvlText w:val=""/>
      <w:lvlJc w:val="left"/>
      <w:pPr>
        <w:tabs>
          <w:tab w:val="num" w:pos="720"/>
        </w:tabs>
        <w:ind w:left="720" w:hanging="360"/>
      </w:pPr>
      <w:rPr>
        <w:rFonts w:ascii="Symbol" w:hAnsi="Symbol" w:hint="default"/>
        <w:sz w:val="20"/>
      </w:rPr>
    </w:lvl>
    <w:lvl w:ilvl="1" w:tplc="39D0433C" w:tentative="1">
      <w:start w:val="1"/>
      <w:numFmt w:val="bullet"/>
      <w:lvlText w:val="o"/>
      <w:lvlJc w:val="left"/>
      <w:pPr>
        <w:tabs>
          <w:tab w:val="num" w:pos="1440"/>
        </w:tabs>
        <w:ind w:left="1440" w:hanging="360"/>
      </w:pPr>
      <w:rPr>
        <w:rFonts w:ascii="Courier New" w:hAnsi="Courier New" w:hint="default"/>
        <w:sz w:val="20"/>
      </w:rPr>
    </w:lvl>
    <w:lvl w:ilvl="2" w:tplc="C562CC88" w:tentative="1">
      <w:start w:val="1"/>
      <w:numFmt w:val="bullet"/>
      <w:lvlText w:val=""/>
      <w:lvlJc w:val="left"/>
      <w:pPr>
        <w:tabs>
          <w:tab w:val="num" w:pos="2160"/>
        </w:tabs>
        <w:ind w:left="2160" w:hanging="360"/>
      </w:pPr>
      <w:rPr>
        <w:rFonts w:ascii="Wingdings" w:hAnsi="Wingdings" w:hint="default"/>
        <w:sz w:val="20"/>
      </w:rPr>
    </w:lvl>
    <w:lvl w:ilvl="3" w:tplc="30A45778" w:tentative="1">
      <w:start w:val="1"/>
      <w:numFmt w:val="bullet"/>
      <w:lvlText w:val=""/>
      <w:lvlJc w:val="left"/>
      <w:pPr>
        <w:tabs>
          <w:tab w:val="num" w:pos="2880"/>
        </w:tabs>
        <w:ind w:left="2880" w:hanging="360"/>
      </w:pPr>
      <w:rPr>
        <w:rFonts w:ascii="Wingdings" w:hAnsi="Wingdings" w:hint="default"/>
        <w:sz w:val="20"/>
      </w:rPr>
    </w:lvl>
    <w:lvl w:ilvl="4" w:tplc="26E4546C" w:tentative="1">
      <w:start w:val="1"/>
      <w:numFmt w:val="bullet"/>
      <w:lvlText w:val=""/>
      <w:lvlJc w:val="left"/>
      <w:pPr>
        <w:tabs>
          <w:tab w:val="num" w:pos="3600"/>
        </w:tabs>
        <w:ind w:left="3600" w:hanging="360"/>
      </w:pPr>
      <w:rPr>
        <w:rFonts w:ascii="Wingdings" w:hAnsi="Wingdings" w:hint="default"/>
        <w:sz w:val="20"/>
      </w:rPr>
    </w:lvl>
    <w:lvl w:ilvl="5" w:tplc="084A6DC0" w:tentative="1">
      <w:start w:val="1"/>
      <w:numFmt w:val="bullet"/>
      <w:lvlText w:val=""/>
      <w:lvlJc w:val="left"/>
      <w:pPr>
        <w:tabs>
          <w:tab w:val="num" w:pos="4320"/>
        </w:tabs>
        <w:ind w:left="4320" w:hanging="360"/>
      </w:pPr>
      <w:rPr>
        <w:rFonts w:ascii="Wingdings" w:hAnsi="Wingdings" w:hint="default"/>
        <w:sz w:val="20"/>
      </w:rPr>
    </w:lvl>
    <w:lvl w:ilvl="6" w:tplc="DD245986" w:tentative="1">
      <w:start w:val="1"/>
      <w:numFmt w:val="bullet"/>
      <w:lvlText w:val=""/>
      <w:lvlJc w:val="left"/>
      <w:pPr>
        <w:tabs>
          <w:tab w:val="num" w:pos="5040"/>
        </w:tabs>
        <w:ind w:left="5040" w:hanging="360"/>
      </w:pPr>
      <w:rPr>
        <w:rFonts w:ascii="Wingdings" w:hAnsi="Wingdings" w:hint="default"/>
        <w:sz w:val="20"/>
      </w:rPr>
    </w:lvl>
    <w:lvl w:ilvl="7" w:tplc="F34679E0" w:tentative="1">
      <w:start w:val="1"/>
      <w:numFmt w:val="bullet"/>
      <w:lvlText w:val=""/>
      <w:lvlJc w:val="left"/>
      <w:pPr>
        <w:tabs>
          <w:tab w:val="num" w:pos="5760"/>
        </w:tabs>
        <w:ind w:left="5760" w:hanging="360"/>
      </w:pPr>
      <w:rPr>
        <w:rFonts w:ascii="Wingdings" w:hAnsi="Wingdings" w:hint="default"/>
        <w:sz w:val="20"/>
      </w:rPr>
    </w:lvl>
    <w:lvl w:ilvl="8" w:tplc="E59C1B5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047E2B"/>
    <w:multiLevelType w:val="hybridMultilevel"/>
    <w:tmpl w:val="0120A9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90393444">
    <w:abstractNumId w:val="6"/>
  </w:num>
  <w:num w:numId="2" w16cid:durableId="1039547612">
    <w:abstractNumId w:val="10"/>
  </w:num>
  <w:num w:numId="3" w16cid:durableId="1631596227">
    <w:abstractNumId w:val="3"/>
  </w:num>
  <w:num w:numId="4" w16cid:durableId="2014143099">
    <w:abstractNumId w:val="9"/>
  </w:num>
  <w:num w:numId="5" w16cid:durableId="1673755483">
    <w:abstractNumId w:val="0"/>
  </w:num>
  <w:num w:numId="6" w16cid:durableId="970937719">
    <w:abstractNumId w:val="12"/>
  </w:num>
  <w:num w:numId="7" w16cid:durableId="1867449428">
    <w:abstractNumId w:val="8"/>
  </w:num>
  <w:num w:numId="8" w16cid:durableId="1776091288">
    <w:abstractNumId w:val="4"/>
  </w:num>
  <w:num w:numId="9" w16cid:durableId="1669287361">
    <w:abstractNumId w:val="7"/>
  </w:num>
  <w:num w:numId="10" w16cid:durableId="400251902">
    <w:abstractNumId w:val="2"/>
  </w:num>
  <w:num w:numId="11" w16cid:durableId="1901554850">
    <w:abstractNumId w:val="5"/>
  </w:num>
  <w:num w:numId="12" w16cid:durableId="9377429">
    <w:abstractNumId w:val="1"/>
  </w:num>
  <w:num w:numId="13" w16cid:durableId="389576275">
    <w:abstractNumId w:val="11"/>
  </w:num>
  <w:num w:numId="14" w16cid:durableId="9354757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5F"/>
    <w:rsid w:val="0001420E"/>
    <w:rsid w:val="00015DF4"/>
    <w:rsid w:val="000A184A"/>
    <w:rsid w:val="000B6EB5"/>
    <w:rsid w:val="000D279C"/>
    <w:rsid w:val="0011288B"/>
    <w:rsid w:val="00113A0E"/>
    <w:rsid w:val="00126951"/>
    <w:rsid w:val="001610B9"/>
    <w:rsid w:val="00176E67"/>
    <w:rsid w:val="001854FE"/>
    <w:rsid w:val="001B3D02"/>
    <w:rsid w:val="001C5137"/>
    <w:rsid w:val="001D3FAF"/>
    <w:rsid w:val="001F0ED7"/>
    <w:rsid w:val="002030B4"/>
    <w:rsid w:val="0021648A"/>
    <w:rsid w:val="0022495E"/>
    <w:rsid w:val="0022727F"/>
    <w:rsid w:val="00241BBF"/>
    <w:rsid w:val="00252D27"/>
    <w:rsid w:val="002533E4"/>
    <w:rsid w:val="00281363"/>
    <w:rsid w:val="002C1E6B"/>
    <w:rsid w:val="002C25B7"/>
    <w:rsid w:val="002F1D17"/>
    <w:rsid w:val="00357321"/>
    <w:rsid w:val="00366AA0"/>
    <w:rsid w:val="00374346"/>
    <w:rsid w:val="0038122D"/>
    <w:rsid w:val="003814D3"/>
    <w:rsid w:val="00386ACE"/>
    <w:rsid w:val="00390C40"/>
    <w:rsid w:val="00392403"/>
    <w:rsid w:val="003A52D9"/>
    <w:rsid w:val="003A5B6E"/>
    <w:rsid w:val="003B0B93"/>
    <w:rsid w:val="003B7084"/>
    <w:rsid w:val="003D3436"/>
    <w:rsid w:val="003D5163"/>
    <w:rsid w:val="003D6DA1"/>
    <w:rsid w:val="003E3226"/>
    <w:rsid w:val="003F7679"/>
    <w:rsid w:val="004036B4"/>
    <w:rsid w:val="00410DAA"/>
    <w:rsid w:val="00451705"/>
    <w:rsid w:val="004608E1"/>
    <w:rsid w:val="00462A90"/>
    <w:rsid w:val="00464304"/>
    <w:rsid w:val="004731F8"/>
    <w:rsid w:val="004A2F37"/>
    <w:rsid w:val="004A4F5C"/>
    <w:rsid w:val="004B3D60"/>
    <w:rsid w:val="004E0179"/>
    <w:rsid w:val="004F0A15"/>
    <w:rsid w:val="005068F7"/>
    <w:rsid w:val="005078F2"/>
    <w:rsid w:val="00511D13"/>
    <w:rsid w:val="00526EB6"/>
    <w:rsid w:val="005270D8"/>
    <w:rsid w:val="00531648"/>
    <w:rsid w:val="005318F2"/>
    <w:rsid w:val="00542A91"/>
    <w:rsid w:val="005435FC"/>
    <w:rsid w:val="00557CDC"/>
    <w:rsid w:val="00561393"/>
    <w:rsid w:val="005769DE"/>
    <w:rsid w:val="0058726C"/>
    <w:rsid w:val="005A241F"/>
    <w:rsid w:val="005B2527"/>
    <w:rsid w:val="005C2B24"/>
    <w:rsid w:val="00600397"/>
    <w:rsid w:val="00601AC7"/>
    <w:rsid w:val="00607277"/>
    <w:rsid w:val="006220F3"/>
    <w:rsid w:val="00647096"/>
    <w:rsid w:val="006614CB"/>
    <w:rsid w:val="00670E92"/>
    <w:rsid w:val="006A5807"/>
    <w:rsid w:val="006D5189"/>
    <w:rsid w:val="006E72A5"/>
    <w:rsid w:val="0070794E"/>
    <w:rsid w:val="007170E2"/>
    <w:rsid w:val="00731722"/>
    <w:rsid w:val="00734BCB"/>
    <w:rsid w:val="007374E0"/>
    <w:rsid w:val="00741DF0"/>
    <w:rsid w:val="0074696E"/>
    <w:rsid w:val="0075182A"/>
    <w:rsid w:val="007523DB"/>
    <w:rsid w:val="00764F77"/>
    <w:rsid w:val="00790F3F"/>
    <w:rsid w:val="00796C16"/>
    <w:rsid w:val="007A29CC"/>
    <w:rsid w:val="007C3BE7"/>
    <w:rsid w:val="007C54C0"/>
    <w:rsid w:val="007F0B98"/>
    <w:rsid w:val="007F5432"/>
    <w:rsid w:val="00802C1A"/>
    <w:rsid w:val="008134FA"/>
    <w:rsid w:val="00815DDB"/>
    <w:rsid w:val="008413F9"/>
    <w:rsid w:val="008427DC"/>
    <w:rsid w:val="00875DCC"/>
    <w:rsid w:val="008A021F"/>
    <w:rsid w:val="008B164F"/>
    <w:rsid w:val="008B6B32"/>
    <w:rsid w:val="008C3A1D"/>
    <w:rsid w:val="008F083C"/>
    <w:rsid w:val="008F49AA"/>
    <w:rsid w:val="009101A1"/>
    <w:rsid w:val="009367AC"/>
    <w:rsid w:val="00963CB0"/>
    <w:rsid w:val="00973477"/>
    <w:rsid w:val="00994BDE"/>
    <w:rsid w:val="009B2C8B"/>
    <w:rsid w:val="009C43FA"/>
    <w:rsid w:val="009D2D60"/>
    <w:rsid w:val="009D2EC8"/>
    <w:rsid w:val="009E782F"/>
    <w:rsid w:val="009F60AE"/>
    <w:rsid w:val="00A12A51"/>
    <w:rsid w:val="00A371EF"/>
    <w:rsid w:val="00A721C9"/>
    <w:rsid w:val="00A821A6"/>
    <w:rsid w:val="00A908B1"/>
    <w:rsid w:val="00A91D18"/>
    <w:rsid w:val="00A953F7"/>
    <w:rsid w:val="00AB1D11"/>
    <w:rsid w:val="00AE1434"/>
    <w:rsid w:val="00AF1542"/>
    <w:rsid w:val="00AF6C5B"/>
    <w:rsid w:val="00B0392B"/>
    <w:rsid w:val="00B06328"/>
    <w:rsid w:val="00B124FB"/>
    <w:rsid w:val="00B20B65"/>
    <w:rsid w:val="00B27B7B"/>
    <w:rsid w:val="00B64A95"/>
    <w:rsid w:val="00B73AA9"/>
    <w:rsid w:val="00B839E2"/>
    <w:rsid w:val="00BB5D80"/>
    <w:rsid w:val="00BE60E4"/>
    <w:rsid w:val="00C108A0"/>
    <w:rsid w:val="00C13608"/>
    <w:rsid w:val="00C2469F"/>
    <w:rsid w:val="00C4005A"/>
    <w:rsid w:val="00C43299"/>
    <w:rsid w:val="00C56FB0"/>
    <w:rsid w:val="00C84616"/>
    <w:rsid w:val="00CC0FCE"/>
    <w:rsid w:val="00CC137A"/>
    <w:rsid w:val="00CC6114"/>
    <w:rsid w:val="00CD15F3"/>
    <w:rsid w:val="00CD1AD5"/>
    <w:rsid w:val="00CF3C9D"/>
    <w:rsid w:val="00D17652"/>
    <w:rsid w:val="00D2446E"/>
    <w:rsid w:val="00D253FE"/>
    <w:rsid w:val="00D35446"/>
    <w:rsid w:val="00D47B8D"/>
    <w:rsid w:val="00D53518"/>
    <w:rsid w:val="00D6100B"/>
    <w:rsid w:val="00D65680"/>
    <w:rsid w:val="00D74FE9"/>
    <w:rsid w:val="00D916E7"/>
    <w:rsid w:val="00D93D19"/>
    <w:rsid w:val="00DC0194"/>
    <w:rsid w:val="00DD2778"/>
    <w:rsid w:val="00DD4C44"/>
    <w:rsid w:val="00DE10B8"/>
    <w:rsid w:val="00DE3830"/>
    <w:rsid w:val="00E30429"/>
    <w:rsid w:val="00E31A36"/>
    <w:rsid w:val="00E404BD"/>
    <w:rsid w:val="00E40D4C"/>
    <w:rsid w:val="00E5501A"/>
    <w:rsid w:val="00E56122"/>
    <w:rsid w:val="00E57FF5"/>
    <w:rsid w:val="00E653ED"/>
    <w:rsid w:val="00E72BE9"/>
    <w:rsid w:val="00E86B13"/>
    <w:rsid w:val="00E92B42"/>
    <w:rsid w:val="00EC3930"/>
    <w:rsid w:val="00EE3F0A"/>
    <w:rsid w:val="00F032AA"/>
    <w:rsid w:val="00F33562"/>
    <w:rsid w:val="00F60A54"/>
    <w:rsid w:val="00F657FF"/>
    <w:rsid w:val="00F855D4"/>
    <w:rsid w:val="00F97D06"/>
    <w:rsid w:val="00FA76CE"/>
    <w:rsid w:val="00FB4F87"/>
    <w:rsid w:val="00FB7B5F"/>
    <w:rsid w:val="00FC52D4"/>
    <w:rsid w:val="00FD2D79"/>
    <w:rsid w:val="00FD414E"/>
    <w:rsid w:val="00FD7347"/>
    <w:rsid w:val="00FE2AE4"/>
    <w:rsid w:val="12F7AE45"/>
    <w:rsid w:val="26C04F92"/>
    <w:rsid w:val="2DBC7DE9"/>
    <w:rsid w:val="5BD6DF36"/>
    <w:rsid w:val="68000B70"/>
    <w:rsid w:val="726129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6CE7A"/>
  <w15:docId w15:val="{372A3DAB-66C5-4077-8566-E1710DE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b/>
      <w:bCs/>
    </w:rPr>
  </w:style>
  <w:style w:type="paragraph" w:styleId="Overskrift5">
    <w:name w:val="heading 5"/>
    <w:basedOn w:val="Normal"/>
    <w:next w:val="Normal"/>
    <w:qFormat/>
    <w:rsid w:val="006220F3"/>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NormalWeb">
    <w:name w:val="Normal (Web)"/>
    <w:basedOn w:val="Normal"/>
    <w:pPr>
      <w:spacing w:before="100" w:beforeAutospacing="1" w:after="100" w:afterAutospacing="1"/>
    </w:pPr>
  </w:style>
  <w:style w:type="character" w:styleId="Strk">
    <w:name w:val="Strong"/>
    <w:basedOn w:val="Standardskrifttypeiafsnit"/>
    <w:qFormat/>
    <w:rPr>
      <w:b/>
      <w:bCs/>
    </w:rPr>
  </w:style>
  <w:style w:type="character" w:styleId="Hyperlink">
    <w:name w:val="Hyperlink"/>
    <w:basedOn w:val="Standardskrifttypeiafsnit"/>
    <w:rPr>
      <w:color w:val="000044"/>
      <w:u w:val="single"/>
    </w:rPr>
  </w:style>
  <w:style w:type="paragraph" w:styleId="Brdtekst">
    <w:name w:val="Body Text"/>
    <w:basedOn w:val="Normal"/>
    <w:pPr>
      <w:spacing w:before="100" w:beforeAutospacing="1" w:after="100" w:afterAutospacing="1"/>
    </w:pPr>
    <w:rPr>
      <w:rFonts w:ascii="Arial" w:hAnsi="Arial" w:cs="Arial"/>
      <w:sz w:val="20"/>
      <w:szCs w:val="20"/>
    </w:rPr>
  </w:style>
  <w:style w:type="paragraph" w:styleId="Brdtekstindrykning">
    <w:name w:val="Body Text Indent"/>
    <w:basedOn w:val="Normal"/>
    <w:pPr>
      <w:spacing w:before="100" w:beforeAutospacing="1" w:after="100" w:afterAutospacing="1"/>
    </w:pPr>
  </w:style>
  <w:style w:type="character" w:styleId="Sidetal">
    <w:name w:val="page number"/>
    <w:basedOn w:val="Standardskrifttypeiafsnit"/>
    <w:rsid w:val="00607277"/>
  </w:style>
  <w:style w:type="character" w:customStyle="1" w:styleId="SidefodTegn">
    <w:name w:val="Sidefod Tegn"/>
    <w:basedOn w:val="Standardskrifttypeiafsnit"/>
    <w:link w:val="Sidefod"/>
    <w:uiPriority w:val="99"/>
    <w:rsid w:val="009F60AE"/>
    <w:rPr>
      <w:sz w:val="24"/>
      <w:szCs w:val="24"/>
    </w:rPr>
  </w:style>
  <w:style w:type="character" w:styleId="Kommentarhenvisning">
    <w:name w:val="annotation reference"/>
    <w:basedOn w:val="Standardskrifttypeiafsnit"/>
    <w:semiHidden/>
    <w:unhideWhenUsed/>
    <w:rsid w:val="00A908B1"/>
    <w:rPr>
      <w:sz w:val="16"/>
      <w:szCs w:val="16"/>
    </w:rPr>
  </w:style>
  <w:style w:type="paragraph" w:styleId="Kommentartekst">
    <w:name w:val="annotation text"/>
    <w:basedOn w:val="Normal"/>
    <w:link w:val="KommentartekstTegn"/>
    <w:semiHidden/>
    <w:unhideWhenUsed/>
    <w:rsid w:val="00A908B1"/>
    <w:rPr>
      <w:sz w:val="20"/>
      <w:szCs w:val="20"/>
    </w:rPr>
  </w:style>
  <w:style w:type="character" w:customStyle="1" w:styleId="KommentartekstTegn">
    <w:name w:val="Kommentartekst Tegn"/>
    <w:basedOn w:val="Standardskrifttypeiafsnit"/>
    <w:link w:val="Kommentartekst"/>
    <w:semiHidden/>
    <w:rsid w:val="00A908B1"/>
  </w:style>
  <w:style w:type="paragraph" w:styleId="Kommentaremne">
    <w:name w:val="annotation subject"/>
    <w:basedOn w:val="Kommentartekst"/>
    <w:next w:val="Kommentartekst"/>
    <w:link w:val="KommentaremneTegn"/>
    <w:semiHidden/>
    <w:unhideWhenUsed/>
    <w:rsid w:val="00A908B1"/>
    <w:rPr>
      <w:b/>
      <w:bCs/>
    </w:rPr>
  </w:style>
  <w:style w:type="character" w:customStyle="1" w:styleId="KommentaremneTegn">
    <w:name w:val="Kommentaremne Tegn"/>
    <w:basedOn w:val="KommentartekstTegn"/>
    <w:link w:val="Kommentaremne"/>
    <w:semiHidden/>
    <w:rsid w:val="00A908B1"/>
    <w:rPr>
      <w:b/>
      <w:bCs/>
    </w:rPr>
  </w:style>
  <w:style w:type="paragraph" w:styleId="Korrektur">
    <w:name w:val="Revision"/>
    <w:hidden/>
    <w:uiPriority w:val="99"/>
    <w:semiHidden/>
    <w:rsid w:val="00A908B1"/>
    <w:rPr>
      <w:sz w:val="24"/>
      <w:szCs w:val="24"/>
    </w:rPr>
  </w:style>
  <w:style w:type="paragraph" w:styleId="Markeringsbobletekst">
    <w:name w:val="Balloon Text"/>
    <w:basedOn w:val="Normal"/>
    <w:link w:val="MarkeringsbobletekstTegn"/>
    <w:semiHidden/>
    <w:unhideWhenUsed/>
    <w:rsid w:val="00A908B1"/>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A90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t\Application%20Data\Microsoft\Skabeloner\PARh&#229;ndbog%20kapitel%202.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Relevant building index</c:v>
                </c:pt>
              </c:strCache>
            </c:strRef>
          </c:tx>
          <c:marker>
            <c:symbol val="none"/>
          </c:marker>
          <c:cat>
            <c:strRef>
              <c:f>Sheet1!$A$2:$A$5</c:f>
              <c:strCache>
                <c:ptCount val="4"/>
                <c:pt idx="0">
                  <c:v>Project commencement</c:v>
                </c:pt>
                <c:pt idx="1">
                  <c:v>Tendering</c:v>
                </c:pt>
                <c:pt idx="2">
                  <c:v>Central point in fixed price period</c:v>
                </c:pt>
                <c:pt idx="3">
                  <c:v>End of construction</c:v>
                </c:pt>
              </c:strCache>
            </c:strRef>
          </c:cat>
          <c:val>
            <c:numRef>
              <c:f>Sheet1!$B$2:$B$5</c:f>
              <c:numCache>
                <c:formatCode>General</c:formatCode>
                <c:ptCount val="4"/>
                <c:pt idx="0">
                  <c:v>100</c:v>
                </c:pt>
                <c:pt idx="1">
                  <c:v>107</c:v>
                </c:pt>
                <c:pt idx="2">
                  <c:v>111</c:v>
                </c:pt>
                <c:pt idx="3">
                  <c:v>115</c:v>
                </c:pt>
              </c:numCache>
            </c:numRef>
          </c:val>
          <c:smooth val="0"/>
          <c:extLst>
            <c:ext xmlns:c16="http://schemas.microsoft.com/office/drawing/2014/chart" uri="{C3380CC4-5D6E-409C-BE32-E72D297353CC}">
              <c16:uniqueId val="{00000000-1016-4960-8683-362601084AB2}"/>
            </c:ext>
          </c:extLst>
        </c:ser>
        <c:ser>
          <c:idx val="1"/>
          <c:order val="1"/>
          <c:tx>
            <c:strRef>
              <c:f>Sheet1!$C$1</c:f>
              <c:strCache>
                <c:ptCount val="1"/>
                <c:pt idx="0">
                  <c:v>Politically determind index</c:v>
                </c:pt>
              </c:strCache>
            </c:strRef>
          </c:tx>
          <c:spPr>
            <a:ln>
              <a:solidFill>
                <a:srgbClr val="00B050"/>
              </a:solidFill>
            </a:ln>
          </c:spPr>
          <c:marker>
            <c:symbol val="none"/>
          </c:marker>
          <c:cat>
            <c:strRef>
              <c:f>Sheet1!$A$2:$A$5</c:f>
              <c:strCache>
                <c:ptCount val="4"/>
                <c:pt idx="0">
                  <c:v>Project commencement</c:v>
                </c:pt>
                <c:pt idx="1">
                  <c:v>Tendering</c:v>
                </c:pt>
                <c:pt idx="2">
                  <c:v>Central point in fixed price period</c:v>
                </c:pt>
                <c:pt idx="3">
                  <c:v>End of construction</c:v>
                </c:pt>
              </c:strCache>
            </c:strRef>
          </c:cat>
          <c:val>
            <c:numRef>
              <c:f>Sheet1!$C$2:$C$5</c:f>
              <c:numCache>
                <c:formatCode>General</c:formatCode>
                <c:ptCount val="4"/>
                <c:pt idx="0">
                  <c:v>100</c:v>
                </c:pt>
                <c:pt idx="1">
                  <c:v>103</c:v>
                </c:pt>
                <c:pt idx="2">
                  <c:v>105</c:v>
                </c:pt>
                <c:pt idx="3">
                  <c:v>107</c:v>
                </c:pt>
              </c:numCache>
            </c:numRef>
          </c:val>
          <c:smooth val="0"/>
          <c:extLst>
            <c:ext xmlns:c16="http://schemas.microsoft.com/office/drawing/2014/chart" uri="{C3380CC4-5D6E-409C-BE32-E72D297353CC}">
              <c16:uniqueId val="{00000001-1016-4960-8683-362601084AB2}"/>
            </c:ext>
          </c:extLst>
        </c:ser>
        <c:ser>
          <c:idx val="2"/>
          <c:order val="2"/>
          <c:tx>
            <c:strRef>
              <c:f>Sheet1!$D$1</c:f>
              <c:strCache>
                <c:ptCount val="1"/>
                <c:pt idx="0">
                  <c:v>Fixed price offer</c:v>
                </c:pt>
              </c:strCache>
            </c:strRef>
          </c:tx>
          <c:spPr>
            <a:ln>
              <a:solidFill>
                <a:srgbClr val="FF0000"/>
              </a:solidFill>
            </a:ln>
          </c:spPr>
          <c:marker>
            <c:symbol val="none"/>
          </c:marker>
          <c:cat>
            <c:strRef>
              <c:f>Sheet1!$A$2:$A$5</c:f>
              <c:strCache>
                <c:ptCount val="4"/>
                <c:pt idx="0">
                  <c:v>Project commencement</c:v>
                </c:pt>
                <c:pt idx="1">
                  <c:v>Tendering</c:v>
                </c:pt>
                <c:pt idx="2">
                  <c:v>Central point in fixed price period</c:v>
                </c:pt>
                <c:pt idx="3">
                  <c:v>End of construction</c:v>
                </c:pt>
              </c:strCache>
            </c:strRef>
          </c:cat>
          <c:val>
            <c:numRef>
              <c:f>Sheet1!$D$2:$D$5</c:f>
              <c:numCache>
                <c:formatCode>General</c:formatCode>
                <c:ptCount val="4"/>
                <c:pt idx="1">
                  <c:v>110</c:v>
                </c:pt>
                <c:pt idx="2">
                  <c:v>110</c:v>
                </c:pt>
                <c:pt idx="3">
                  <c:v>110</c:v>
                </c:pt>
              </c:numCache>
            </c:numRef>
          </c:val>
          <c:smooth val="0"/>
          <c:extLst>
            <c:ext xmlns:c16="http://schemas.microsoft.com/office/drawing/2014/chart" uri="{C3380CC4-5D6E-409C-BE32-E72D297353CC}">
              <c16:uniqueId val="{00000002-1016-4960-8683-362601084AB2}"/>
            </c:ext>
          </c:extLst>
        </c:ser>
        <c:dLbls>
          <c:showLegendKey val="0"/>
          <c:showVal val="0"/>
          <c:showCatName val="0"/>
          <c:showSerName val="0"/>
          <c:showPercent val="0"/>
          <c:showBubbleSize val="0"/>
        </c:dLbls>
        <c:dropLines>
          <c:spPr>
            <a:ln>
              <a:prstDash val="dashDot"/>
            </a:ln>
            <a:effectLst>
              <a:softEdge rad="292100"/>
            </a:effectLst>
          </c:spPr>
        </c:dropLines>
        <c:smooth val="0"/>
        <c:axId val="-2136170832"/>
        <c:axId val="2122242304"/>
      </c:lineChart>
      <c:catAx>
        <c:axId val="-2136170832"/>
        <c:scaling>
          <c:orientation val="minMax"/>
        </c:scaling>
        <c:delete val="0"/>
        <c:axPos val="b"/>
        <c:numFmt formatCode="General" sourceLinked="0"/>
        <c:majorTickMark val="none"/>
        <c:minorTickMark val="none"/>
        <c:tickLblPos val="nextTo"/>
        <c:crossAx val="2122242304"/>
        <c:crosses val="autoZero"/>
        <c:auto val="1"/>
        <c:lblAlgn val="ctr"/>
        <c:lblOffset val="100"/>
        <c:noMultiLvlLbl val="0"/>
      </c:catAx>
      <c:valAx>
        <c:axId val="2122242304"/>
        <c:scaling>
          <c:orientation val="minMax"/>
        </c:scaling>
        <c:delete val="0"/>
        <c:axPos val="l"/>
        <c:majorGridlines/>
        <c:numFmt formatCode="General" sourceLinked="1"/>
        <c:majorTickMark val="out"/>
        <c:minorTickMark val="none"/>
        <c:tickLblPos val="nextTo"/>
        <c:crossAx val="-2136170832"/>
        <c:crosses val="autoZero"/>
        <c:crossBetween val="between"/>
      </c:valAx>
    </c:plotArea>
    <c:legend>
      <c:legendPos val="r"/>
      <c:overlay val="0"/>
      <c:spPr>
        <a:solidFill>
          <a:schemeClr val="bg1"/>
        </a:solidFill>
      </c:sp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0.44631</cdr:x>
      <cdr:y>0.17049</cdr:y>
    </cdr:from>
    <cdr:to>
      <cdr:x>0.44986</cdr:x>
      <cdr:y>0.79359</cdr:y>
    </cdr:to>
    <cdr:cxnSp macro="">
      <cdr:nvCxnSpPr>
        <cdr:cNvPr id="7" name="Straight Arrow Connector 6"/>
        <cdr:cNvCxnSpPr/>
      </cdr:nvCxnSpPr>
      <cdr:spPr>
        <a:xfrm xmlns:a="http://schemas.openxmlformats.org/drawingml/2006/main" flipH="1" flipV="1">
          <a:off x="2393950" y="533400"/>
          <a:ext cx="19050" cy="194945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0.28649</cdr:x>
      <cdr:y>0.28415</cdr:y>
    </cdr:from>
    <cdr:to>
      <cdr:x>0.28768</cdr:x>
      <cdr:y>0.79359</cdr:y>
    </cdr:to>
    <cdr:cxnSp macro="">
      <cdr:nvCxnSpPr>
        <cdr:cNvPr id="9" name="Straight Arrow Connector 8"/>
        <cdr:cNvCxnSpPr/>
      </cdr:nvCxnSpPr>
      <cdr:spPr>
        <a:xfrm xmlns:a="http://schemas.openxmlformats.org/drawingml/2006/main" flipH="1" flipV="1">
          <a:off x="1536700" y="889000"/>
          <a:ext cx="6350" cy="159385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0.57417</cdr:x>
      <cdr:y>0.04262</cdr:y>
    </cdr:from>
    <cdr:to>
      <cdr:x>0.57772</cdr:x>
      <cdr:y>0.79359</cdr:y>
    </cdr:to>
    <cdr:cxnSp macro="">
      <cdr:nvCxnSpPr>
        <cdr:cNvPr id="14" name="Straight Arrow Connector 13"/>
        <cdr:cNvCxnSpPr/>
      </cdr:nvCxnSpPr>
      <cdr:spPr>
        <a:xfrm xmlns:a="http://schemas.openxmlformats.org/drawingml/2006/main" flipH="1" flipV="1">
          <a:off x="3079750" y="133350"/>
          <a:ext cx="19050" cy="234950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74859357D7F84784E99BCDB4E75840" ma:contentTypeVersion="2" ma:contentTypeDescription="Opret et nyt dokument." ma:contentTypeScope="" ma:versionID="785df63aa50d4a996830bde2490f0251">
  <xsd:schema xmlns:xsd="http://www.w3.org/2001/XMLSchema" xmlns:xs="http://www.w3.org/2001/XMLSchema" xmlns:p="http://schemas.microsoft.com/office/2006/metadata/properties" xmlns:ns2="326ade0d-e48c-4497-b7db-8d99b79d9b38" targetNamespace="http://schemas.microsoft.com/office/2006/metadata/properties" ma:root="true" ma:fieldsID="0a82812002ba92442a562b9df816117f" ns2:_="">
    <xsd:import namespace="326ade0d-e48c-4497-b7db-8d99b79d9b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ade0d-e48c-4497-b7db-8d99b79d9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78A3F-3C13-4D2B-AE25-2CBCF330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ade0d-e48c-4497-b7db-8d99b79d9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DF379-FC53-4436-AE68-27F07CBEE777}">
  <ds:schemaRefs>
    <ds:schemaRef ds:uri="http://schemas.microsoft.com/sharepoint/v3/contenttype/forms"/>
  </ds:schemaRefs>
</ds:datastoreItem>
</file>

<file path=customXml/itemProps3.xml><?xml version="1.0" encoding="utf-8"?>
<ds:datastoreItem xmlns:ds="http://schemas.openxmlformats.org/officeDocument/2006/customXml" ds:itemID="{373C22D4-B126-46AF-8CE7-B07C551F28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CAFC01-3E10-4FE9-9D9B-7FCE50F1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PARhåndbog kapitel 2</Template>
  <TotalTime>1</TotalTime>
  <Pages>9</Pages>
  <Words>3296</Words>
  <Characters>20108</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6.02 Aftaleformular for teknisk rådgivning og bistand, ABR 18</vt:lpstr>
    </vt:vector>
  </TitlesOfParts>
  <Company>PAR</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 Aftaleformular for teknisk rådgivning og bistand, ABR 18</dc:title>
  <dc:subject/>
  <dc:creator>KIM</dc:creator>
  <cp:keywords/>
  <dc:description/>
  <cp:lastModifiedBy>Sait Ciftci</cp:lastModifiedBy>
  <cp:revision>2</cp:revision>
  <cp:lastPrinted>2018-12-10T09:31:00Z</cp:lastPrinted>
  <dcterms:created xsi:type="dcterms:W3CDTF">2026-03-02T13:44:00Z</dcterms:created>
  <dcterms:modified xsi:type="dcterms:W3CDTF">2026-03-02T13:44:00Z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0x010100B974859357D7F84784E99BCDB4E75840</vt:lpwstr>
  </property>
  <property fmtid="{D5CDD505-2E9C-101B-9397-08002B2CF9AE}" pid="3" name="Docnr">
    <vt:r8>39990</vt:r8>
  </property>
  <property fmtid="{D5CDD505-2E9C-101B-9397-08002B2CF9AE}" pid="4" name="Hovedgrp">
    <vt:lpwstr>Sekretariatet</vt:lpwstr>
  </property>
  <property fmtid="{D5CDD505-2E9C-101B-9397-08002B2CF9AE}" pid="5" name="_dlc_DocIdItemGuid">
    <vt:lpwstr>3a9b2a1d-6dc5-4a80-8f69-723856da574a</vt:lpwstr>
  </property>
</Properties>
</file>